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8000E" w:rsidRDefault="00204556" w:rsidP="00C40061">
      <w:pPr>
        <w:pStyle w:val="Textbody"/>
        <w:shd w:val="clear" w:color="auto" w:fill="FFFFFF" w:themeFill="background1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u w:val="single"/>
          <w:lang w:eastAsia="ar-SA"/>
        </w:rPr>
      </w:pPr>
      <w:r w:rsidRPr="00B8000E">
        <w:rPr>
          <w:rFonts w:eastAsia="MS Mincho" w:cs="Times New Roman"/>
          <w:b/>
          <w:bCs/>
          <w:sz w:val="52"/>
          <w:u w:val="single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195A3532" w:rsidR="008A09EF" w:rsidRPr="00702CD9" w:rsidRDefault="00204556" w:rsidP="004E2D4A">
      <w:pPr>
        <w:pStyle w:val="Textbody"/>
        <w:shd w:val="clear" w:color="auto" w:fill="CBE6E7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B6692E">
        <w:rPr>
          <w:rFonts w:cs="Times New Roman"/>
          <w:b/>
          <w:color w:val="000000" w:themeColor="text1"/>
          <w:sz w:val="32"/>
          <w:szCs w:val="32"/>
        </w:rPr>
        <w:t>63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7353FF92" w14:textId="77777777" w:rsidR="00B6692E" w:rsidRPr="001B2A7B" w:rsidRDefault="00B6692E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155E4951" w14:textId="76B69982" w:rsidR="008A09EF" w:rsidRPr="00E03585" w:rsidRDefault="00B6692E" w:rsidP="004E2D4A">
      <w:pPr>
        <w:pStyle w:val="Textbody"/>
        <w:shd w:val="clear" w:color="auto" w:fill="CBE6E7"/>
        <w:spacing w:after="0"/>
        <w:jc w:val="center"/>
        <w:rPr>
          <w:rFonts w:cs="Times New Roman"/>
          <w:sz w:val="32"/>
          <w:szCs w:val="32"/>
        </w:rPr>
      </w:pPr>
      <w:r w:rsidRPr="00B6692E">
        <w:rPr>
          <w:b/>
          <w:sz w:val="32"/>
          <w:szCs w:val="32"/>
        </w:rPr>
        <w:t>AQUISIÇÃO DE GÊNEROS ALIMENTÍCIOS PARA ALIMENTAÇÃO ESCOLAR – ENTREGA PARCELADA</w:t>
      </w:r>
      <w:r w:rsidR="00E03585" w:rsidRPr="00E03585">
        <w:rPr>
          <w:b/>
          <w:sz w:val="32"/>
          <w:szCs w:val="32"/>
        </w:rPr>
        <w:t>.</w:t>
      </w: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793697C5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B6692E">
        <w:rPr>
          <w:rFonts w:cs="Times New Roman"/>
          <w:color w:val="000000" w:themeColor="text1"/>
        </w:rPr>
        <w:t>17</w:t>
      </w:r>
      <w:r w:rsidR="001B2A7B">
        <w:rPr>
          <w:rFonts w:cs="Times New Roman"/>
          <w:color w:val="000000" w:themeColor="text1"/>
        </w:rPr>
        <w:t xml:space="preserve"> de </w:t>
      </w:r>
      <w:r w:rsidR="00B6692E">
        <w:rPr>
          <w:rFonts w:cs="Times New Roman"/>
          <w:color w:val="000000" w:themeColor="text1"/>
        </w:rPr>
        <w:t>abril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20D484B9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PORCESSO ADMINISTRATIVO Nº </w:t>
      </w:r>
      <w:r w:rsidR="004D4582">
        <w:rPr>
          <w:rFonts w:cs="Times New Roman"/>
          <w:b/>
          <w:bCs/>
          <w:color w:val="000000" w:themeColor="text1"/>
          <w:lang w:eastAsia="zh-CN"/>
        </w:rPr>
        <w:t>6</w:t>
      </w:r>
      <w:r w:rsidR="00603C94">
        <w:rPr>
          <w:rFonts w:cs="Times New Roman"/>
          <w:b/>
          <w:bCs/>
          <w:color w:val="000000" w:themeColor="text1"/>
          <w:lang w:eastAsia="zh-CN"/>
        </w:rPr>
        <w:t>3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2471453" w14:textId="6E9B5FEF" w:rsidR="008A09EF" w:rsidRDefault="00702CD9" w:rsidP="00BE3B23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4D4582" w:rsidRPr="004D4582">
        <w:rPr>
          <w:rFonts w:cs="Times New Roman"/>
          <w:color w:val="000000" w:themeColor="text1"/>
        </w:rPr>
        <w:t>AQUISIÇÃO DE GÊNEROS ALIMENTÍCIOS PARA ALIMENTAÇÃO ESCOLAR – ENTREGA PARCELADA</w:t>
      </w:r>
      <w:r w:rsidR="00603C94" w:rsidRPr="00603C94">
        <w:rPr>
          <w:rFonts w:cs="Times New Roman"/>
          <w:color w:val="000000" w:themeColor="text1"/>
        </w:rPr>
        <w:t>.</w:t>
      </w:r>
      <w:r w:rsidR="00204556" w:rsidRPr="00702CD9">
        <w:rPr>
          <w:rFonts w:cs="Times New Roman"/>
          <w:color w:val="000000" w:themeColor="text1"/>
          <w:lang w:eastAsia="zh-CN"/>
        </w:rPr>
        <w:t xml:space="preserve">” 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1BA82" w14:textId="77777777" w:rsidR="0099605E" w:rsidRPr="0099605E" w:rsidRDefault="0099605E" w:rsidP="006F0DDF">
            <w:pPr>
              <w:spacing w:line="360" w:lineRule="auto"/>
              <w:jc w:val="both"/>
              <w:rPr>
                <w:rFonts w:cs="Times New Roman"/>
              </w:rPr>
            </w:pPr>
            <w:r w:rsidRPr="0099605E">
              <w:rPr>
                <w:rFonts w:cs="Times New Roman"/>
              </w:rPr>
              <w:t xml:space="preserve">A presente licitação tem por objeto a “aquisição parcelada de Gêneros Alimentícios para Alimentação Escolar do Município”. </w:t>
            </w:r>
          </w:p>
          <w:p w14:paraId="38DCD8AE" w14:textId="77777777" w:rsidR="0099605E" w:rsidRPr="0099605E" w:rsidRDefault="0099605E" w:rsidP="006F0DDF">
            <w:pPr>
              <w:spacing w:line="360" w:lineRule="auto"/>
              <w:jc w:val="both"/>
              <w:rPr>
                <w:rFonts w:cs="Times New Roman"/>
              </w:rPr>
            </w:pPr>
            <w:r w:rsidRPr="0099605E">
              <w:rPr>
                <w:rFonts w:cs="Times New Roman"/>
              </w:rPr>
              <w:t xml:space="preserve">O fornecimento diário de uma alimentação equilibrada tem como objetivo garantir as necessidades nutricionais dos alunos durante o tempo de permanência na escola, contribuindo para seu crescimento, desenvolvimento e aprendizagem, promovendo a formação de hábitos alimentares saudáveis. Os alunos beneficiados são matriculados nas Instituições da Rede Pública de Ensino: Pré-escola (E.M.E.I) Noemia Gonçalves Pereira, Escola Municipal (E.M.E.F) Professor “Wagner </w:t>
            </w:r>
            <w:proofErr w:type="spellStart"/>
            <w:r w:rsidRPr="0099605E">
              <w:rPr>
                <w:rFonts w:cs="Times New Roman"/>
              </w:rPr>
              <w:t>Campato</w:t>
            </w:r>
            <w:proofErr w:type="spellEnd"/>
            <w:r w:rsidRPr="0099605E">
              <w:rPr>
                <w:rFonts w:cs="Times New Roman"/>
              </w:rPr>
              <w:t xml:space="preserve">” e Escola Estadual </w:t>
            </w:r>
            <w:proofErr w:type="spellStart"/>
            <w:r w:rsidRPr="0099605E">
              <w:rPr>
                <w:rFonts w:cs="Times New Roman"/>
              </w:rPr>
              <w:t>Iraldo</w:t>
            </w:r>
            <w:proofErr w:type="spellEnd"/>
            <w:r w:rsidRPr="0099605E">
              <w:rPr>
                <w:rFonts w:cs="Times New Roman"/>
              </w:rPr>
              <w:t xml:space="preserve"> Antônio Martins de Toledo.</w:t>
            </w:r>
          </w:p>
          <w:p w14:paraId="47EFDE43" w14:textId="0B7161AF" w:rsidR="00BE3B23" w:rsidRPr="00893671" w:rsidRDefault="0099605E" w:rsidP="006F0DDF">
            <w:pPr>
              <w:spacing w:line="360" w:lineRule="auto"/>
              <w:jc w:val="both"/>
              <w:rPr>
                <w:rFonts w:eastAsia="Times New Roman" w:cs="Times New Roman"/>
                <w:lang w:val="pt-PT" w:eastAsia="en-US"/>
              </w:rPr>
            </w:pPr>
            <w:r w:rsidRPr="0099605E">
              <w:rPr>
                <w:rFonts w:cs="Times New Roman"/>
              </w:rPr>
              <w:t xml:space="preserve">Alimentar-se não é apenas para suprir as necessidades físicas do corpo humano, hoje sabemos que a alimentação é essencial também para o desenvolvimento cognitivo desde a infância até a fase adulta de uma pessoa. No âmbito escolar essas considerações já foram </w:t>
            </w:r>
            <w:r w:rsidRPr="0099605E">
              <w:rPr>
                <w:rFonts w:cs="Times New Roman"/>
              </w:rPr>
              <w:lastRenderedPageBreak/>
              <w:t>temas de pesquisas que comprovam o aumento dos índices escolares aliado a bons hábitos alimentares.</w:t>
            </w:r>
          </w:p>
        </w:tc>
      </w:tr>
      <w:tr w:rsidR="008A09EF" w:rsidRPr="00702CD9" w14:paraId="5EE8501D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913F47" w:rsidRPr="00702CD9" w14:paraId="7F0D9171" w14:textId="77777777" w:rsidTr="00984BA5">
        <w:trPr>
          <w:gridBefore w:val="1"/>
          <w:wBefore w:w="13" w:type="dxa"/>
          <w:trHeight w:val="25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8911" w14:textId="3CFFAD63" w:rsidR="0099605E" w:rsidRDefault="009F7ED9" w:rsidP="006F0DDF">
            <w:pPr>
              <w:pStyle w:val="Cabealho"/>
              <w:spacing w:line="360" w:lineRule="auto"/>
              <w:jc w:val="both"/>
            </w:pPr>
            <w:r>
              <w:t xml:space="preserve">     </w:t>
            </w:r>
            <w:r w:rsidR="00F124F5">
              <w:t>Os itens a serem licitados fracassaram em licitação anterior. A nutricionista</w:t>
            </w:r>
            <w:r w:rsidR="00F124F5" w:rsidRPr="00F124F5">
              <w:t xml:space="preserve"> elabora cardápios balanceados, que dependem da disponibilidade de diversos tipos de alimentos. A falta de itens específicos (que </w:t>
            </w:r>
            <w:r w:rsidR="00F124F5">
              <w:t>fracassaram</w:t>
            </w:r>
            <w:r w:rsidR="00F124F5" w:rsidRPr="00F124F5">
              <w:t xml:space="preserve"> na licitação) impede a execução desse plano, comprometendo a variedade e o valor nutricional das refeições oferecidas. É preciso assegurar que o cardápio planejado seja executado para garantir a oferta de nutrientes essenciais.</w:t>
            </w:r>
          </w:p>
          <w:p w14:paraId="7325752F" w14:textId="406D44D8" w:rsidR="00F124F5" w:rsidRDefault="00F124F5" w:rsidP="0099605E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</w:tc>
      </w:tr>
      <w:tr w:rsidR="008A09EF" w:rsidRPr="00702CD9" w14:paraId="06CBA9BE" w14:textId="77777777" w:rsidTr="00984BA5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18BBE08A" w14:textId="77777777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92AB9B" w:rsidR="008A09EF" w:rsidRPr="00CC01A5" w:rsidRDefault="00CC01A5" w:rsidP="00954DFF">
            <w:pPr>
              <w:pStyle w:val="Cabealho"/>
              <w:jc w:val="both"/>
              <w:rPr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1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2223EF">
              <w:rPr>
                <w:rFonts w:cs="Times New Roman"/>
              </w:rPr>
              <w:t>.</w:t>
            </w:r>
          </w:p>
        </w:tc>
      </w:tr>
    </w:tbl>
    <w:p w14:paraId="7AA1D649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A09EF" w:rsidRPr="00702CD9" w14:paraId="6E13E654" w14:textId="77777777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F294E" w:rsidRPr="00702CD9" w14:paraId="22458804" w14:textId="77777777" w:rsidTr="007A2607">
        <w:trPr>
          <w:trHeight w:val="3056"/>
        </w:trPr>
        <w:tc>
          <w:tcPr>
            <w:tcW w:w="8784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89A87" w14:textId="77777777" w:rsidR="006F0DDF" w:rsidRDefault="004A36B3" w:rsidP="006F0DDF">
            <w:pPr>
              <w:pStyle w:val="NormalWeb"/>
              <w:spacing w:line="360" w:lineRule="auto"/>
              <w:jc w:val="both"/>
            </w:pPr>
            <w:r>
              <w:t xml:space="preserve">A aquisição de alimentos para a merenda escolar no Brasil é um processo rigoroso, regido principalmente pelo </w:t>
            </w:r>
            <w:r>
              <w:rPr>
                <w:rStyle w:val="Forte"/>
              </w:rPr>
              <w:t>Programa Nacional de Alimentação Escolar (PNAE)</w:t>
            </w:r>
            <w:r>
              <w:t>, sob a gestão do Fundo Nacional de Desenvolvimento da Educação (FNDE). Os requisitos visam garantir a segurança alimentar e nutricional dos estudantes, a qualidade dos produtos e a transparência na gestão dos recursos públicos.</w:t>
            </w:r>
          </w:p>
          <w:p w14:paraId="1F7D8899" w14:textId="0C2E9011" w:rsidR="004A36B3" w:rsidRPr="004A36B3" w:rsidRDefault="006F0DDF" w:rsidP="006F0DDF">
            <w:pPr>
              <w:pStyle w:val="NormalWeb"/>
              <w:spacing w:line="360" w:lineRule="auto"/>
              <w:jc w:val="both"/>
            </w:pPr>
            <w:r>
              <w:t xml:space="preserve">- </w:t>
            </w:r>
            <w:r w:rsidR="004A36B3" w:rsidRPr="004A36B3">
              <w:rPr>
                <w:rFonts w:eastAsia="Segoe UI"/>
                <w:bCs/>
              </w:rPr>
              <w:t xml:space="preserve">Os riscos de impactos ocasionados devido a produção nas indústrias, as empresas deverão atentar para as práticas de mitigação dos impactos na produção, em como as lei e Resoluções que orientam a produção sustentável dessas atividades. </w:t>
            </w:r>
          </w:p>
          <w:p w14:paraId="2DEE1F76" w14:textId="526E3E1F" w:rsidR="004A36B3" w:rsidRPr="004A36B3" w:rsidRDefault="00315D28" w:rsidP="004A36B3">
            <w:pPr>
              <w:spacing w:line="360" w:lineRule="auto"/>
              <w:jc w:val="both"/>
              <w:rPr>
                <w:rFonts w:eastAsia="Segoe UI" w:cs="Times New Roman"/>
                <w:bCs/>
                <w:kern w:val="0"/>
                <w:lang w:eastAsia="pt-BR" w:bidi="ar-SA"/>
              </w:rPr>
            </w:pPr>
            <w:r>
              <w:rPr>
                <w:rFonts w:eastAsia="Segoe UI" w:cs="Times New Roman"/>
                <w:bCs/>
                <w:kern w:val="0"/>
                <w:lang w:eastAsia="pt-BR" w:bidi="ar-SA"/>
              </w:rPr>
              <w:t xml:space="preserve">- </w:t>
            </w:r>
            <w:r w:rsidR="004A36B3" w:rsidRPr="004A36B3">
              <w:rPr>
                <w:rFonts w:eastAsia="Segoe UI" w:cs="Times New Roman"/>
                <w:bCs/>
                <w:kern w:val="0"/>
                <w:lang w:eastAsia="pt-BR" w:bidi="ar-SA"/>
              </w:rPr>
              <w:t xml:space="preserve">A aquisição deve considerar as consequências ambientais, sociais e econômicos de: </w:t>
            </w:r>
            <w:r w:rsidR="004A36B3" w:rsidRPr="004A36B3">
              <w:rPr>
                <w:rFonts w:eastAsia="Segoe UI" w:cs="Times New Roman"/>
                <w:bCs/>
                <w:kern w:val="0"/>
                <w:lang w:eastAsia="pt-BR" w:bidi="ar-SA"/>
              </w:rPr>
              <w:lastRenderedPageBreak/>
              <w:t xml:space="preserve">projeto; uso de materiais não renováveis; fabricação e métodos de produção, logística, prestação de serviços; uso, operação, manutenção, reutilização; opções de reciclagem; disposição, e as capacidades dos fornecedores para resolver essas consequências em toda a cadeia de abastecimento. </w:t>
            </w:r>
          </w:p>
          <w:p w14:paraId="2339CF74" w14:textId="77777777" w:rsidR="004A36B3" w:rsidRPr="004A36B3" w:rsidRDefault="004A36B3" w:rsidP="004A36B3">
            <w:pPr>
              <w:spacing w:line="360" w:lineRule="auto"/>
              <w:jc w:val="both"/>
              <w:rPr>
                <w:rFonts w:eastAsia="Segoe UI" w:cs="Times New Roman"/>
                <w:bCs/>
                <w:kern w:val="0"/>
                <w:lang w:eastAsia="pt-BR" w:bidi="ar-SA"/>
              </w:rPr>
            </w:pPr>
            <w:r w:rsidRPr="004A36B3">
              <w:rPr>
                <w:rFonts w:eastAsia="Segoe UI" w:cs="Times New Roman"/>
                <w:bCs/>
                <w:kern w:val="0"/>
                <w:lang w:eastAsia="pt-BR" w:bidi="ar-SA"/>
              </w:rPr>
              <w:t xml:space="preserve">A licitante deverá apresentar, como documento necessário à habilitação: </w:t>
            </w:r>
          </w:p>
          <w:p w14:paraId="391E1729" w14:textId="6A51FE0E" w:rsidR="00E02A59" w:rsidRPr="00315D28" w:rsidRDefault="004A36B3" w:rsidP="00315D28">
            <w:pPr>
              <w:spacing w:line="360" w:lineRule="auto"/>
              <w:jc w:val="both"/>
              <w:rPr>
                <w:rFonts w:eastAsia="Segoe UI" w:cs="Times New Roman"/>
                <w:bCs/>
                <w:kern w:val="0"/>
                <w:lang w:eastAsia="pt-BR" w:bidi="ar-SA"/>
              </w:rPr>
            </w:pPr>
            <w:r w:rsidRPr="004A36B3">
              <w:rPr>
                <w:rFonts w:eastAsia="Segoe UI" w:cs="Times New Roman"/>
                <w:bCs/>
                <w:kern w:val="0"/>
                <w:lang w:eastAsia="pt-BR" w:bidi="ar-SA"/>
              </w:rPr>
              <w:t>- Documento, emitido por órgão oficial competente, comprovando que a licitante proponente está regular e apta para o funcionamento perante os Serviços de Vigilância Sanitária.</w:t>
            </w:r>
          </w:p>
        </w:tc>
      </w:tr>
      <w:tr w:rsidR="008F294E" w:rsidRPr="00702CD9" w14:paraId="455F27A4" w14:textId="77777777" w:rsidTr="00E02A59">
        <w:trPr>
          <w:trHeight w:val="25"/>
        </w:trPr>
        <w:tc>
          <w:tcPr>
            <w:tcW w:w="8784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5F9F374B" w14:textId="76CD5DFA" w:rsidR="00BC3C1B" w:rsidRPr="00702CD9" w:rsidRDefault="00BC3C1B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414805" w14:paraId="551B5AE5" w14:textId="77777777" w:rsidTr="00414805">
        <w:trPr>
          <w:trHeight w:val="1658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9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5128"/>
              <w:gridCol w:w="992"/>
              <w:gridCol w:w="984"/>
            </w:tblGrid>
            <w:tr w:rsidR="00DA798C" w:rsidRPr="00722A90" w14:paraId="7060CA31" w14:textId="77777777" w:rsidTr="005254CE">
              <w:trPr>
                <w:trHeight w:val="1"/>
                <w:jc w:val="center"/>
              </w:trPr>
              <w:tc>
                <w:tcPr>
                  <w:tcW w:w="827" w:type="dxa"/>
                  <w:shd w:val="clear" w:color="auto" w:fill="FFF2CC" w:themeFill="accent4" w:themeFillTint="33"/>
                  <w:vAlign w:val="center"/>
                  <w:hideMark/>
                </w:tcPr>
                <w:p w14:paraId="06AE876A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ITEM</w:t>
                  </w:r>
                </w:p>
              </w:tc>
              <w:tc>
                <w:tcPr>
                  <w:tcW w:w="5128" w:type="dxa"/>
                  <w:shd w:val="clear" w:color="auto" w:fill="FFF2CC" w:themeFill="accent4" w:themeFillTint="33"/>
                  <w:vAlign w:val="center"/>
                </w:tcPr>
                <w:p w14:paraId="708DA6C9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GÊNERO/DESCRIÇÃO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  <w:vAlign w:val="center"/>
                </w:tcPr>
                <w:p w14:paraId="05446715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UNID.</w:t>
                  </w:r>
                </w:p>
              </w:tc>
              <w:tc>
                <w:tcPr>
                  <w:tcW w:w="984" w:type="dxa"/>
                  <w:shd w:val="clear" w:color="auto" w:fill="FFF2CC" w:themeFill="accent4" w:themeFillTint="33"/>
                  <w:vAlign w:val="center"/>
                  <w:hideMark/>
                </w:tcPr>
                <w:p w14:paraId="4EA378DE" w14:textId="1301280A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>
                    <w:rPr>
                      <w:rFonts w:eastAsia="Times New Roman"/>
                      <w:lang w:val="pt-PT"/>
                    </w:rPr>
                    <w:t>QTDE</w:t>
                  </w:r>
                </w:p>
              </w:tc>
            </w:tr>
            <w:tr w:rsidR="00DA798C" w:rsidRPr="000F4024" w14:paraId="54DC2185" w14:textId="77777777" w:rsidTr="005254CE">
              <w:trPr>
                <w:trHeight w:val="1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4C39A912" w14:textId="77777777" w:rsidR="00DA798C" w:rsidRPr="000F4024" w:rsidRDefault="00DA798C" w:rsidP="00DA798C">
                  <w:pPr>
                    <w:jc w:val="center"/>
                  </w:pPr>
                  <w:r w:rsidRPr="000F4024">
                    <w:t>01</w:t>
                  </w:r>
                </w:p>
              </w:tc>
              <w:tc>
                <w:tcPr>
                  <w:tcW w:w="5128" w:type="dxa"/>
                </w:tcPr>
                <w:p w14:paraId="5B17E756" w14:textId="77777777" w:rsidR="00DA798C" w:rsidRPr="000F4024" w:rsidRDefault="00DA798C" w:rsidP="00DA798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0F4024">
                    <w:rPr>
                      <w:b/>
                      <w:sz w:val="22"/>
                      <w:szCs w:val="22"/>
                    </w:rPr>
                    <w:t>Arroz tipo 01 -</w:t>
                  </w:r>
                  <w:r w:rsidRPr="000F4024">
                    <w:rPr>
                      <w:sz w:val="22"/>
                      <w:szCs w:val="22"/>
                    </w:rPr>
                    <w:t xml:space="preserve"> </w:t>
                  </w:r>
                  <w:r w:rsidRPr="000F4024">
                    <w:rPr>
                      <w:sz w:val="20"/>
                      <w:szCs w:val="20"/>
                    </w:rPr>
                    <w:t>longo fino, subgrupo polido, a</w:t>
                  </w:r>
                  <w:r>
                    <w:rPr>
                      <w:sz w:val="20"/>
                      <w:szCs w:val="20"/>
                    </w:rPr>
                    <w:t>gulhinha, de primeira qualidade tipo premium</w:t>
                  </w:r>
                  <w:r w:rsidRPr="000F4024">
                    <w:rPr>
                      <w:sz w:val="20"/>
                      <w:szCs w:val="20"/>
                    </w:rPr>
                    <w:t xml:space="preserve"> com no mínimo 90% dos grãos inteiros. Acondicionado em embalagem resistente de polietileno atóxico, contendo </w:t>
                  </w:r>
                  <w:r w:rsidRPr="000F4024">
                    <w:rPr>
                      <w:b/>
                      <w:sz w:val="20"/>
                      <w:szCs w:val="20"/>
                    </w:rPr>
                    <w:t>05 kg</w:t>
                  </w:r>
                  <w:r w:rsidRPr="000F4024">
                    <w:rPr>
                      <w:sz w:val="20"/>
                      <w:szCs w:val="20"/>
                    </w:rPr>
                    <w:t>, com identificação na embalagem (rótulo) dos ingredientes, valor nutricional, peso, fornecedor, data de fabricação e validade. Isento de sujidades, parasitas, larvas e material estranho. Na embalagem do produto deverá constar: grãos selecionados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0F4024">
                    <w:rPr>
                      <w:sz w:val="20"/>
                      <w:szCs w:val="20"/>
                    </w:rPr>
                    <w:t xml:space="preserve"> safra velha; </w:t>
                  </w:r>
                  <w:r>
                    <w:rPr>
                      <w:sz w:val="20"/>
                      <w:szCs w:val="20"/>
                    </w:rPr>
                    <w:t>não precisa lavar ou escolher</w:t>
                  </w:r>
                  <w:r w:rsidRPr="000F4024">
                    <w:rPr>
                      <w:sz w:val="20"/>
                      <w:szCs w:val="20"/>
                    </w:rPr>
                    <w:t>. Validade mínima de 06 (seis) meses, a contar da data de entrega.</w:t>
                  </w:r>
                </w:p>
              </w:tc>
              <w:tc>
                <w:tcPr>
                  <w:tcW w:w="992" w:type="dxa"/>
                  <w:vAlign w:val="center"/>
                </w:tcPr>
                <w:p w14:paraId="3F12B93D" w14:textId="77777777" w:rsidR="00DA798C" w:rsidRPr="000F4024" w:rsidRDefault="00DA798C" w:rsidP="00DA798C">
                  <w:pPr>
                    <w:jc w:val="center"/>
                  </w:pPr>
                  <w:proofErr w:type="spellStart"/>
                  <w:r w:rsidRPr="000F4024">
                    <w:t>Pct</w:t>
                  </w:r>
                  <w:proofErr w:type="spellEnd"/>
                </w:p>
              </w:tc>
              <w:tc>
                <w:tcPr>
                  <w:tcW w:w="984" w:type="dxa"/>
                  <w:shd w:val="clear" w:color="auto" w:fill="auto"/>
                  <w:vAlign w:val="center"/>
                </w:tcPr>
                <w:p w14:paraId="25AF65AB" w14:textId="77777777" w:rsidR="00DA798C" w:rsidRPr="000F4024" w:rsidRDefault="00DA798C" w:rsidP="00DA798C">
                  <w:pPr>
                    <w:jc w:val="center"/>
                  </w:pPr>
                  <w:r w:rsidRPr="000F4024">
                    <w:t>804</w:t>
                  </w:r>
                </w:p>
              </w:tc>
            </w:tr>
            <w:tr w:rsidR="00DA798C" w:rsidRPr="000F4024" w14:paraId="38829CF6" w14:textId="77777777" w:rsidTr="005254CE">
              <w:trPr>
                <w:trHeight w:val="1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BFEC156" w14:textId="77777777" w:rsidR="00DA798C" w:rsidRPr="000F4024" w:rsidRDefault="00DA798C" w:rsidP="00DA798C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128" w:type="dxa"/>
                </w:tcPr>
                <w:p w14:paraId="174BC7CD" w14:textId="77777777" w:rsidR="00DA798C" w:rsidRPr="000F4024" w:rsidRDefault="00DA798C" w:rsidP="00DA798C">
                  <w:pPr>
                    <w:jc w:val="both"/>
                  </w:pPr>
                  <w:r w:rsidRPr="000F4024">
                    <w:rPr>
                      <w:b/>
                    </w:rPr>
                    <w:t>Cacau em pó</w:t>
                  </w:r>
                  <w:r w:rsidRPr="000F4024">
                    <w:t xml:space="preserve"> – </w:t>
                  </w:r>
                  <w:r w:rsidRPr="000F4024">
                    <w:rPr>
                      <w:sz w:val="20"/>
                      <w:szCs w:val="20"/>
                    </w:rPr>
                    <w:t>Produto com 100 % de cacau. Embalagem</w:t>
                  </w:r>
                  <w:r>
                    <w:rPr>
                      <w:sz w:val="20"/>
                      <w:szCs w:val="20"/>
                    </w:rPr>
                    <w:t xml:space="preserve"> primária de papel </w:t>
                  </w:r>
                  <w:r w:rsidRPr="000F4024">
                    <w:rPr>
                      <w:sz w:val="20"/>
                      <w:szCs w:val="20"/>
                    </w:rPr>
                    <w:t xml:space="preserve">contendo </w:t>
                  </w:r>
                  <w:r w:rsidRPr="000F4024">
                    <w:rPr>
                      <w:b/>
                      <w:sz w:val="20"/>
                      <w:szCs w:val="20"/>
                    </w:rPr>
                    <w:t>200 gramas</w:t>
                  </w:r>
                  <w:r w:rsidRPr="000F4024">
                    <w:rPr>
                      <w:sz w:val="20"/>
                      <w:szCs w:val="20"/>
                    </w:rPr>
                    <w:t>, com identificação (rótulo) dos ingredientes, valor nutricional, peso, fornecedor, data de fabricação e validade. Isento de sujidades, parasitas, larvas e material estra</w:t>
                  </w:r>
                  <w:r>
                    <w:rPr>
                      <w:sz w:val="20"/>
                      <w:szCs w:val="20"/>
                    </w:rPr>
                    <w:t>nho. Informação nutricional referente</w:t>
                  </w:r>
                  <w:r w:rsidRPr="000F4024">
                    <w:rPr>
                      <w:sz w:val="20"/>
                      <w:szCs w:val="20"/>
                    </w:rPr>
                    <w:t xml:space="preserve"> a porção de 20 g</w:t>
                  </w:r>
                  <w:r>
                    <w:rPr>
                      <w:sz w:val="20"/>
                      <w:szCs w:val="20"/>
                    </w:rPr>
                    <w:t>ramas (02 colheres de sopa): valor e</w:t>
                  </w:r>
                  <w:r w:rsidRPr="000F4024">
                    <w:rPr>
                      <w:sz w:val="20"/>
                      <w:szCs w:val="20"/>
                    </w:rPr>
                    <w:t xml:space="preserve">nergético igual ou menor </w:t>
                  </w:r>
                  <w:r>
                    <w:rPr>
                      <w:sz w:val="20"/>
                      <w:szCs w:val="20"/>
                    </w:rPr>
                    <w:t>que 55 kcal, açúcar 0g, gordura t</w:t>
                  </w:r>
                  <w:r w:rsidRPr="000F4024">
                    <w:rPr>
                      <w:sz w:val="20"/>
                      <w:szCs w:val="20"/>
                    </w:rPr>
                    <w:t>rans</w:t>
                  </w:r>
                  <w:r>
                    <w:rPr>
                      <w:sz w:val="20"/>
                      <w:szCs w:val="20"/>
                    </w:rPr>
                    <w:t xml:space="preserve"> 0g, fibra a</w:t>
                  </w:r>
                  <w:r w:rsidRPr="000F4024">
                    <w:rPr>
                      <w:sz w:val="20"/>
                      <w:szCs w:val="20"/>
                    </w:rPr>
                    <w:t>limentar igual ou maior q</w:t>
                  </w:r>
                  <w:r>
                    <w:rPr>
                      <w:sz w:val="20"/>
                      <w:szCs w:val="20"/>
                    </w:rPr>
                    <w:t>ue 6,8 gramas</w:t>
                  </w:r>
                  <w:r w:rsidRPr="000F4024">
                    <w:rPr>
                      <w:sz w:val="20"/>
                      <w:szCs w:val="20"/>
                    </w:rPr>
                    <w:t xml:space="preserve"> e 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0F4024">
                    <w:rPr>
                      <w:sz w:val="20"/>
                      <w:szCs w:val="20"/>
                    </w:rPr>
                    <w:t>ódio</w:t>
                  </w:r>
                  <w:r>
                    <w:rPr>
                      <w:sz w:val="20"/>
                      <w:szCs w:val="20"/>
                    </w:rPr>
                    <w:t xml:space="preserve"> 0mg.</w:t>
                  </w:r>
                  <w:r w:rsidRPr="000F4024">
                    <w:rPr>
                      <w:sz w:val="20"/>
                      <w:szCs w:val="20"/>
                    </w:rPr>
                    <w:t xml:space="preserve"> Ingredientes: cacau em pó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0F4024">
                    <w:rPr>
                      <w:sz w:val="20"/>
                      <w:szCs w:val="20"/>
                    </w:rPr>
                    <w:t xml:space="preserve"> Não poderá conter nos ingredientes lecitina de soja e açúcar. Zero de glúten. Validade mínima de 06 (seis) meses a partir da data de entrega.</w:t>
                  </w:r>
                </w:p>
              </w:tc>
              <w:tc>
                <w:tcPr>
                  <w:tcW w:w="992" w:type="dxa"/>
                  <w:vAlign w:val="center"/>
                </w:tcPr>
                <w:p w14:paraId="513CC8DB" w14:textId="77777777" w:rsidR="00DA798C" w:rsidRPr="000F4024" w:rsidRDefault="00DA798C" w:rsidP="00DA798C">
                  <w:pPr>
                    <w:jc w:val="center"/>
                  </w:pPr>
                  <w:proofErr w:type="spellStart"/>
                  <w:r w:rsidRPr="000F4024">
                    <w:t>Cx</w:t>
                  </w:r>
                  <w:proofErr w:type="spellEnd"/>
                </w:p>
              </w:tc>
              <w:tc>
                <w:tcPr>
                  <w:tcW w:w="984" w:type="dxa"/>
                  <w:shd w:val="clear" w:color="auto" w:fill="auto"/>
                  <w:vAlign w:val="center"/>
                </w:tcPr>
                <w:p w14:paraId="0804BAE5" w14:textId="77777777" w:rsidR="00DA798C" w:rsidRPr="000F4024" w:rsidRDefault="00DA798C" w:rsidP="00DA798C">
                  <w:pPr>
                    <w:jc w:val="center"/>
                  </w:pPr>
                  <w:r w:rsidRPr="000F4024">
                    <w:t>300</w:t>
                  </w:r>
                </w:p>
              </w:tc>
            </w:tr>
            <w:tr w:rsidR="00DA798C" w:rsidRPr="00722A90" w14:paraId="0E989C7E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shd w:val="clear" w:color="auto" w:fill="auto"/>
                  <w:noWrap/>
                  <w:vAlign w:val="center"/>
                </w:tcPr>
                <w:p w14:paraId="05CC64EF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>
                    <w:rPr>
                      <w:rFonts w:eastAsia="Times New Roman"/>
                      <w:lang w:val="pt-PT"/>
                    </w:rPr>
                    <w:t>03</w:t>
                  </w:r>
                </w:p>
              </w:tc>
              <w:tc>
                <w:tcPr>
                  <w:tcW w:w="5128" w:type="dxa"/>
                </w:tcPr>
                <w:p w14:paraId="0D48D6F4" w14:textId="77777777" w:rsidR="00DA798C" w:rsidRPr="00722A90" w:rsidRDefault="00DA798C" w:rsidP="00DA798C">
                  <w:pPr>
                    <w:autoSpaceDE w:val="0"/>
                    <w:jc w:val="both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b/>
                      <w:lang w:val="pt-PT"/>
                    </w:rPr>
                    <w:t>Café torrado e moído</w:t>
                  </w:r>
                  <w:r w:rsidRPr="00722A90">
                    <w:rPr>
                      <w:rFonts w:eastAsia="Times New Roman"/>
                      <w:lang w:val="pt-PT"/>
                    </w:rPr>
                    <w:t xml:space="preserve"> -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Café torrado e moído, </w:t>
                  </w:r>
                  <w:r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torra média,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com pó homogêneo e fino, cor castanho escuro, odor e sabor característico, produzido com grãos sãos, limpos e de boa qualidade. Acondicionado em embalagem contendo 500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lastRenderedPageBreak/>
                    <w:t>gramas, com identificação (rótulo) dos ingredientes, valor nutricional, peso, fornecedor, data de fabricação e validade. Isento de parasitos, larvas e qualquer material estranho. Umidade adequada. Validade mínima de 03 (três) meses a partir da data de entrega.</w:t>
                  </w:r>
                  <w:r w:rsidRPr="00722A90">
                    <w:rPr>
                      <w:rFonts w:eastAsia="Times New Roman"/>
                      <w:lang w:val="pt-PT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14:paraId="3E6B15F9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lastRenderedPageBreak/>
                    <w:t>Pct</w:t>
                  </w:r>
                </w:p>
              </w:tc>
              <w:tc>
                <w:tcPr>
                  <w:tcW w:w="984" w:type="dxa"/>
                  <w:shd w:val="clear" w:color="auto" w:fill="auto"/>
                  <w:noWrap/>
                  <w:vAlign w:val="center"/>
                </w:tcPr>
                <w:p w14:paraId="200F861C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130</w:t>
                  </w:r>
                </w:p>
              </w:tc>
            </w:tr>
            <w:tr w:rsidR="00DA798C" w:rsidRPr="00722A90" w14:paraId="139972A7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shd w:val="clear" w:color="auto" w:fill="auto"/>
                  <w:noWrap/>
                  <w:vAlign w:val="center"/>
                </w:tcPr>
                <w:p w14:paraId="0FB849B8" w14:textId="77777777" w:rsidR="00DA798C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>
                    <w:rPr>
                      <w:rFonts w:eastAsia="Times New Roman"/>
                      <w:lang w:val="pt-PT"/>
                    </w:rPr>
                    <w:t>04</w:t>
                  </w:r>
                </w:p>
              </w:tc>
              <w:tc>
                <w:tcPr>
                  <w:tcW w:w="5128" w:type="dxa"/>
                </w:tcPr>
                <w:p w14:paraId="2BF0D74F" w14:textId="77777777" w:rsidR="00DA798C" w:rsidRPr="000F4024" w:rsidRDefault="00DA798C" w:rsidP="00DA798C">
                  <w:pPr>
                    <w:jc w:val="both"/>
                  </w:pPr>
                  <w:r w:rsidRPr="000F4024">
                    <w:rPr>
                      <w:b/>
                    </w:rPr>
                    <w:t>Macarrão do tipo espiral/caracol (sem ovos) -</w:t>
                  </w:r>
                  <w:r w:rsidRPr="000F4024">
                    <w:t xml:space="preserve"> </w:t>
                  </w:r>
                  <w:r w:rsidRPr="000F4024">
                    <w:rPr>
                      <w:sz w:val="20"/>
                      <w:szCs w:val="20"/>
                    </w:rPr>
                    <w:t xml:space="preserve">1ª qualidade. Ingredientes: sêmola de trigo enriquecida com ferro e ácido fólico (vitamina B9), </w:t>
                  </w:r>
                  <w:r>
                    <w:rPr>
                      <w:sz w:val="20"/>
                      <w:szCs w:val="20"/>
                    </w:rPr>
                    <w:t xml:space="preserve">ovos, </w:t>
                  </w:r>
                  <w:r w:rsidRPr="000F4024">
                    <w:rPr>
                      <w:sz w:val="20"/>
                      <w:szCs w:val="20"/>
                    </w:rPr>
                    <w:t xml:space="preserve">e corantes naturais: cúrcuma e urucum. Acondicionado em embalagem resistente de polietileno atóxico transparente, contendo </w:t>
                  </w:r>
                  <w:r w:rsidRPr="000F4024">
                    <w:rPr>
                      <w:b/>
                      <w:sz w:val="20"/>
                      <w:szCs w:val="20"/>
                    </w:rPr>
                    <w:t>500 gramas</w:t>
                  </w:r>
                  <w:r w:rsidRPr="000F4024">
                    <w:rPr>
                      <w:sz w:val="20"/>
                      <w:szCs w:val="20"/>
                    </w:rPr>
                    <w:t>, com identificação na embalagem (rótulo) dos ingredientes, valor nutricional, peso, fornecedor, data de fabricação e validade. Isento de sujidades, parasitas, larvas e material estranho. Validade mínima de 12 (doze) meses a contar da data de entrega.</w:t>
                  </w:r>
                </w:p>
              </w:tc>
              <w:tc>
                <w:tcPr>
                  <w:tcW w:w="992" w:type="dxa"/>
                  <w:vAlign w:val="center"/>
                </w:tcPr>
                <w:p w14:paraId="5180C5C5" w14:textId="77777777" w:rsidR="00DA798C" w:rsidRPr="000F4024" w:rsidRDefault="00DA798C" w:rsidP="00DA798C">
                  <w:pPr>
                    <w:jc w:val="center"/>
                  </w:pPr>
                  <w:proofErr w:type="spellStart"/>
                  <w:r w:rsidRPr="000F4024">
                    <w:t>Pct</w:t>
                  </w:r>
                  <w:proofErr w:type="spellEnd"/>
                </w:p>
              </w:tc>
              <w:tc>
                <w:tcPr>
                  <w:tcW w:w="984" w:type="dxa"/>
                  <w:shd w:val="clear" w:color="auto" w:fill="auto"/>
                  <w:noWrap/>
                  <w:vAlign w:val="center"/>
                </w:tcPr>
                <w:p w14:paraId="783B3CD3" w14:textId="77777777" w:rsidR="00DA798C" w:rsidRPr="000F4024" w:rsidRDefault="00DA798C" w:rsidP="00DA798C">
                  <w:pPr>
                    <w:jc w:val="center"/>
                  </w:pPr>
                  <w:r w:rsidRPr="000F4024">
                    <w:t>460</w:t>
                  </w:r>
                </w:p>
              </w:tc>
            </w:tr>
            <w:tr w:rsidR="00DA798C" w:rsidRPr="00722A90" w14:paraId="398BE2AE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D02ECA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>
                    <w:rPr>
                      <w:rFonts w:eastAsia="Times New Roman"/>
                      <w:lang w:val="pt-PT"/>
                    </w:rPr>
                    <w:t>05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F9EC0" w14:textId="77777777" w:rsidR="00DA798C" w:rsidRPr="00722A90" w:rsidRDefault="00DA798C" w:rsidP="00DA798C">
                  <w:pPr>
                    <w:autoSpaceDE w:val="0"/>
                    <w:jc w:val="both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b/>
                      <w:lang w:val="pt-PT"/>
                    </w:rPr>
                    <w:t>Iogurte zero lactose</w:t>
                  </w:r>
                  <w:r w:rsidRPr="00722A90">
                    <w:rPr>
                      <w:rFonts w:eastAsia="Times New Roman"/>
                      <w:lang w:val="pt-PT"/>
                    </w:rPr>
                    <w:t xml:space="preserve"> -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Iogurte </w:t>
                  </w:r>
                  <w:r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desnatado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t>com polpa de frutas sabor morango para dietas com restrição de lactose. Embalagem plástica com peso líquido 170g. Contendo na embalagem a identificação (rótulo) do produto, marca do fabricante, validade, data de embalagem, peso líquido e selo de inspeção do órgão competente. Validade mínima de 30 (trinta) dias a contar da data de entrega.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9FB65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Und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96E2E9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160</w:t>
                  </w:r>
                </w:p>
              </w:tc>
            </w:tr>
            <w:tr w:rsidR="00DA798C" w:rsidRPr="00722A90" w14:paraId="0090E64B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84057A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>
                    <w:rPr>
                      <w:rFonts w:eastAsia="Times New Roman"/>
                      <w:lang w:val="pt-PT"/>
                    </w:rPr>
                    <w:t>06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F21C" w14:textId="77777777" w:rsidR="00DA798C" w:rsidRPr="00722A90" w:rsidRDefault="00DA798C" w:rsidP="00DA798C">
                  <w:pPr>
                    <w:autoSpaceDE w:val="0"/>
                    <w:jc w:val="both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b/>
                      <w:lang w:val="pt-PT"/>
                    </w:rPr>
                    <w:t>Queijo tipo mussarela zero lactose (KG)</w:t>
                  </w:r>
                  <w:r w:rsidRPr="00722A90">
                    <w:rPr>
                      <w:rFonts w:eastAsia="Times New Roman"/>
                      <w:lang w:val="pt-PT"/>
                    </w:rPr>
                    <w:t xml:space="preserve"> -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fresco, refrigerado, </w:t>
                  </w:r>
                  <w:r>
                    <w:rPr>
                      <w:rFonts w:eastAsia="Times New Roman"/>
                      <w:sz w:val="20"/>
                      <w:szCs w:val="20"/>
                      <w:lang w:val="pt-PT"/>
                    </w:rPr>
                    <w:t xml:space="preserve">fatiado no dia da entrega, </w:t>
                  </w:r>
                  <w:r w:rsidRPr="00722A90">
                    <w:rPr>
                      <w:rFonts w:eastAsia="Times New Roman"/>
                      <w:sz w:val="20"/>
                      <w:szCs w:val="20"/>
                      <w:lang w:val="pt-PT"/>
                    </w:rPr>
                    <w:t>fatias finas em torno de 20g cada, embaladas em bandeja de isopor com plástico transparente. Isento de estufamento, rachadura e mofos. Devendo ser fatiado no máximo um dia anterior à entrega. Contendo na embalagem a identificação do produto, validade, data de embalagem, peso líquido, marca do fabricante. O produto deverá ter selo de inspeção do órgão competente. Validade mínima de 03 (três) dias a contar da data de entrega.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EFF61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KG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5D4E47" w14:textId="77777777" w:rsidR="00DA798C" w:rsidRPr="00722A90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722A90">
                    <w:rPr>
                      <w:rFonts w:eastAsia="Times New Roman"/>
                      <w:lang w:val="pt-PT"/>
                    </w:rPr>
                    <w:t>50</w:t>
                  </w:r>
                </w:p>
              </w:tc>
            </w:tr>
            <w:tr w:rsidR="00DA798C" w:rsidRPr="00722A90" w14:paraId="5C8FFED5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DF7F52" w14:textId="77777777" w:rsidR="00DA798C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>
                    <w:rPr>
                      <w:rFonts w:eastAsia="Times New Roman"/>
                      <w:lang w:val="pt-PT"/>
                    </w:rPr>
                    <w:t>07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44FD9" w14:textId="77777777" w:rsidR="00DA798C" w:rsidRPr="000F4024" w:rsidRDefault="00DA798C" w:rsidP="00DA798C">
                  <w:pPr>
                    <w:jc w:val="both"/>
                    <w:rPr>
                      <w:sz w:val="20"/>
                      <w:szCs w:val="20"/>
                    </w:rPr>
                  </w:pPr>
                  <w:r w:rsidRPr="000F4024">
                    <w:rPr>
                      <w:b/>
                    </w:rPr>
                    <w:t>Ovo branco de galinha -</w:t>
                  </w:r>
                  <w:r w:rsidRPr="000F4024">
                    <w:t xml:space="preserve"> </w:t>
                  </w:r>
                  <w:r w:rsidRPr="000F4024">
                    <w:rPr>
                      <w:sz w:val="20"/>
                      <w:szCs w:val="20"/>
                    </w:rPr>
                    <w:t xml:space="preserve">Branco, classe A, (50-60 grs. cada ovo). Produto fresco, tipo médio, íntegro, tamanho uniforme, proveniente de avicultor com inspeção oficial. Cor, odor e sabor característico, casca lisa, pouco porosa, sem manchas ou sujidades, sem rachaduras, isento de podridão e fungos. Acondicionados em bandejas embaladas com material plástico, contendo </w:t>
                  </w:r>
                  <w:r w:rsidRPr="000F4024">
                    <w:rPr>
                      <w:b/>
                      <w:sz w:val="20"/>
                      <w:szCs w:val="20"/>
                    </w:rPr>
                    <w:t>30 unidades</w:t>
                  </w:r>
                  <w:r w:rsidRPr="000F4024">
                    <w:rPr>
                      <w:sz w:val="20"/>
                      <w:szCs w:val="20"/>
                    </w:rPr>
                    <w:t xml:space="preserve"> de ovos. Deverá apresentar em cada bandeja rótulo com as informações do fornecedor, data da embalagem e data de validade, registro no Ministério da Agricultura. Validade mínima de 15 (quinze) dias a contar da data de entrega.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7FBB8" w14:textId="77777777" w:rsidR="00DA798C" w:rsidRPr="000F4024" w:rsidRDefault="00DA798C" w:rsidP="00DA798C">
                  <w:pPr>
                    <w:jc w:val="center"/>
                  </w:pPr>
                  <w:proofErr w:type="spellStart"/>
                  <w:r w:rsidRPr="000F4024">
                    <w:t>Bj</w:t>
                  </w:r>
                  <w:proofErr w:type="spellEnd"/>
                </w:p>
                <w:p w14:paraId="45208B0C" w14:textId="77777777" w:rsidR="00DA798C" w:rsidRPr="000F4024" w:rsidRDefault="00DA798C" w:rsidP="00DA798C">
                  <w:pPr>
                    <w:jc w:val="center"/>
                  </w:pPr>
                  <w:r w:rsidRPr="000F4024">
                    <w:t>c/ 30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6CCA0D" w14:textId="77777777" w:rsidR="00DA798C" w:rsidRPr="000F4024" w:rsidRDefault="00DA798C" w:rsidP="00DA798C">
                  <w:pPr>
                    <w:jc w:val="center"/>
                  </w:pPr>
                  <w:r w:rsidRPr="000F4024">
                    <w:t>430</w:t>
                  </w:r>
                </w:p>
              </w:tc>
            </w:tr>
            <w:tr w:rsidR="00DA798C" w:rsidRPr="00EC4ED7" w14:paraId="59ED302B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300E5E" w14:textId="77777777" w:rsidR="00DA798C" w:rsidRPr="00EC4ED7" w:rsidRDefault="00DA798C" w:rsidP="00DA798C">
                  <w:pPr>
                    <w:autoSpaceDE w:val="0"/>
                    <w:jc w:val="center"/>
                    <w:rPr>
                      <w:rFonts w:eastAsia="Times New Roman"/>
                      <w:lang w:val="pt-PT"/>
                    </w:rPr>
                  </w:pPr>
                  <w:r w:rsidRPr="00EC4ED7">
                    <w:rPr>
                      <w:rFonts w:eastAsia="Times New Roman"/>
                      <w:lang w:val="pt-PT"/>
                    </w:rPr>
                    <w:t>0</w:t>
                  </w:r>
                  <w:r>
                    <w:rPr>
                      <w:rFonts w:eastAsia="Times New Roman"/>
                      <w:lang w:val="pt-PT"/>
                    </w:rPr>
                    <w:t>8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3EF96" w14:textId="77777777" w:rsidR="00DA798C" w:rsidRPr="00EC4ED7" w:rsidRDefault="00DA798C" w:rsidP="00DA798C">
                  <w:pPr>
                    <w:jc w:val="both"/>
                  </w:pPr>
                  <w:r w:rsidRPr="00EC4ED7">
                    <w:rPr>
                      <w:b/>
                    </w:rPr>
                    <w:t xml:space="preserve">Hambúrguer de carne bovina </w:t>
                  </w:r>
                  <w:r w:rsidRPr="00EC4ED7">
                    <w:rPr>
                      <w:b/>
                      <w:sz w:val="20"/>
                      <w:szCs w:val="20"/>
                    </w:rPr>
                    <w:t>–</w:t>
                  </w:r>
                  <w:r w:rsidRPr="00EC4ED7">
                    <w:rPr>
                      <w:sz w:val="20"/>
                      <w:szCs w:val="20"/>
                    </w:rPr>
                    <w:t xml:space="preserve"> hambúrguer de carne bovina (tipo: fraldinha bovina) pesando aproximadamente 90 gramas a unidade, contendo apenas carne bovina, sal e especiarias em sua composição. Congelado, embalado individualmente. Produzido com carne de abate recente, congelado, com no máximo 10% de gordura, proveniente de animais sadios, abatidos sob inspeção veterinária, devendo apresentar coloração vermelho-vivo, odor característico e </w:t>
                  </w:r>
                  <w:r w:rsidRPr="00EC4ED7">
                    <w:rPr>
                      <w:sz w:val="20"/>
                      <w:szCs w:val="20"/>
                    </w:rPr>
                    <w:lastRenderedPageBreak/>
                    <w:t>aspecto próprio não amolecido e nem pegajosa. Isento de vestígios de descongelamento, excesso de gordura, cartilagem e aponeurose, coloração arroxeada, acinzentada e esverdeada, odor forte e desagradável, parasitas, sujidades, larvas e qualquer substância contaminante. Acondicionado em embalagem resistente de 1 kg a 2kg, contendo a identificação do produto, peso, data de fabricação e prazo de validade. Validade mínima de 30 (trinta) dias, a contar da data de entrega. Deverá apresentar ficha técnica do produto com os carimbos oficiais e selo de inspeção do órgão competente.  Transporte realizado de maneira adequada assegurando que o produto se mantenha congelado durante todo o percurso da entrega.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B1340" w14:textId="77777777" w:rsidR="00DA798C" w:rsidRPr="00EC4ED7" w:rsidRDefault="00DA798C" w:rsidP="00DA798C">
                  <w:pPr>
                    <w:jc w:val="center"/>
                  </w:pPr>
                  <w:r w:rsidRPr="00EC4ED7">
                    <w:lastRenderedPageBreak/>
                    <w:t>KG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28024E" w14:textId="77777777" w:rsidR="00DA798C" w:rsidRPr="00EC4ED7" w:rsidRDefault="00DA798C" w:rsidP="00DA798C">
                  <w:pPr>
                    <w:jc w:val="center"/>
                  </w:pPr>
                  <w:r w:rsidRPr="00EC4ED7">
                    <w:t>290</w:t>
                  </w:r>
                </w:p>
              </w:tc>
            </w:tr>
            <w:tr w:rsidR="00DA798C" w:rsidRPr="00722A90" w14:paraId="59E1BC13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5DC68C" w14:textId="77777777" w:rsidR="00DA798C" w:rsidRPr="00722A90" w:rsidRDefault="00DA798C" w:rsidP="00DA798C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DC66" w14:textId="77777777" w:rsidR="00DA798C" w:rsidRPr="00722A90" w:rsidRDefault="00DA798C" w:rsidP="00DA798C">
                  <w:pPr>
                    <w:jc w:val="both"/>
                    <w:rPr>
                      <w:sz w:val="20"/>
                      <w:szCs w:val="20"/>
                    </w:rPr>
                  </w:pPr>
                  <w:r w:rsidRPr="00722A90">
                    <w:rPr>
                      <w:b/>
                      <w:sz w:val="20"/>
                      <w:szCs w:val="20"/>
                    </w:rPr>
                    <w:t>Carne bovina em bifes – COXÃO MOLE (KG)</w:t>
                  </w:r>
                  <w:r w:rsidRPr="00722A90">
                    <w:rPr>
                      <w:sz w:val="20"/>
                      <w:szCs w:val="20"/>
                    </w:rPr>
                    <w:t xml:space="preserve"> – carne em bifes – Congelada pelo Sistema de Congelamento Individual – IQF.  Carne de bovinos abatidos sob inspeção veterinária, manipulada em condições higiênico-sanitárias satisfatórias, aspecto: próprio da espécie, não amolecida nem pegajosa cor: própria da espécie, sem manchas esverdeadas ou pardacentas, odor: próprio. Limpa, com até 5% de gordura.  Acondicionado em embalagem de polietileno atóxica, transparente e resistente, embalagem primária de 1 kg a 2kg, contendo a identificação do produto, peso, prazo de validade, carimbos oficiais e selo de inspeção do órgão competente e data de embalagem. Validade mínima de 06 (seis) meses, a contar da data de entrega. Deverá apresentar ficha técnica do produto.  Transporte realizado em veículo apropriado, assegurando que o produto se mantenha congelado durante todo o percurso da entrega.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2127D" w14:textId="77777777" w:rsidR="00DA798C" w:rsidRPr="00722A90" w:rsidRDefault="00DA798C" w:rsidP="00DA798C">
                  <w:pPr>
                    <w:jc w:val="center"/>
                  </w:pPr>
                  <w:r w:rsidRPr="00722A90">
                    <w:t>KG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04E1F" w14:textId="77777777" w:rsidR="00DA798C" w:rsidRPr="00722A90" w:rsidRDefault="00DA798C" w:rsidP="00DA798C">
                  <w:pPr>
                    <w:jc w:val="center"/>
                  </w:pPr>
                  <w:r w:rsidRPr="00722A90">
                    <w:t>370</w:t>
                  </w:r>
                </w:p>
              </w:tc>
            </w:tr>
            <w:tr w:rsidR="00DA798C" w:rsidRPr="00722A90" w14:paraId="0FFD4074" w14:textId="77777777" w:rsidTr="005254CE">
              <w:trPr>
                <w:trHeight w:val="144"/>
                <w:jc w:val="center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F90350" w14:textId="77777777" w:rsidR="00DA798C" w:rsidRPr="00722A90" w:rsidRDefault="00DA798C" w:rsidP="00DA798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0E8CE" w14:textId="77777777" w:rsidR="00DA798C" w:rsidRPr="00722A90" w:rsidRDefault="00DA798C" w:rsidP="00DA798C">
                  <w:pPr>
                    <w:jc w:val="both"/>
                  </w:pPr>
                  <w:r w:rsidRPr="00722A90">
                    <w:rPr>
                      <w:b/>
                    </w:rPr>
                    <w:t xml:space="preserve">Carne bovina em bifes/iscas/tiras – </w:t>
                  </w:r>
                  <w:r w:rsidRPr="00722A90">
                    <w:rPr>
                      <w:b/>
                      <w:sz w:val="20"/>
                      <w:szCs w:val="20"/>
                    </w:rPr>
                    <w:t>COXÃO MOLE (KG)</w:t>
                  </w:r>
                  <w:r w:rsidRPr="00722A90">
                    <w:rPr>
                      <w:sz w:val="20"/>
                      <w:szCs w:val="20"/>
                    </w:rPr>
                    <w:t xml:space="preserve"> – carne em iscas/tiras – Congelada pelo Sistema de Congelamento Individual – IQF. Carne de bovinos abatidos sob inspeção veterinária, manipulada em condições higiênico-sanitárias satisfatórias, aspecto: próprio da espécie, não amolecida nem pegajosa cor: própria da espécie, sem manchas esverdeadas ou pardacentas, odor: próprio. Limpa, com até 5% de gordura.  Embalagem primária </w:t>
                  </w:r>
                  <w:proofErr w:type="gramStart"/>
                  <w:r w:rsidRPr="00722A90">
                    <w:rPr>
                      <w:sz w:val="20"/>
                      <w:szCs w:val="20"/>
                    </w:rPr>
                    <w:t>plástica transparente</w:t>
                  </w:r>
                  <w:proofErr w:type="gramEnd"/>
                  <w:r w:rsidRPr="00722A90">
                    <w:rPr>
                      <w:sz w:val="20"/>
                      <w:szCs w:val="20"/>
                    </w:rPr>
                    <w:t xml:space="preserve">, flexível, atóxica, resistente, não violado e que garanta a integridade do produto até o momento do consumo e a embalagem secundária em caixas de papelão reforçada. A embalagem primária deverá apresentar o rótulo do produto externo litografado e indelével. No rótulo deverá conter os seguintes dados: identificação da empresa, dados de identificação do produto, número de lote, data de validade, peso do produto, registro no órgão SISP ou SIF/DIPOA. Embalagem. contendo 02 KG. Deverá apresentar ficha técnica do produto.  Transporte realizado em veículo apropriado, assegurando que o produto se mantenha congelado durante todo o percurso da entrega. Validade mínima de 11 meses a partir da data de entrega.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01163" w14:textId="77777777" w:rsidR="00DA798C" w:rsidRPr="00722A90" w:rsidRDefault="00DA798C" w:rsidP="00DA798C">
                  <w:pPr>
                    <w:jc w:val="center"/>
                  </w:pPr>
                  <w:r w:rsidRPr="00722A90">
                    <w:t>KG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C40B96" w14:textId="77777777" w:rsidR="00DA798C" w:rsidRPr="00722A90" w:rsidRDefault="00DA798C" w:rsidP="00DA798C">
                  <w:pPr>
                    <w:jc w:val="center"/>
                  </w:pPr>
                  <w:r w:rsidRPr="00722A90">
                    <w:t>520</w:t>
                  </w:r>
                </w:p>
              </w:tc>
            </w:tr>
          </w:tbl>
          <w:p w14:paraId="0C989867" w14:textId="1998BA92" w:rsidR="00544056" w:rsidRPr="00414805" w:rsidRDefault="00544056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  <w:tr w:rsidR="00B1043F" w:rsidRPr="00414805" w14:paraId="2B154703" w14:textId="77777777" w:rsidTr="00414805">
        <w:trPr>
          <w:trHeight w:val="197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14658E72" w:rsidR="00905780" w:rsidRPr="00414805" w:rsidRDefault="00905780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</w:tbl>
    <w:p w14:paraId="45633B0E" w14:textId="695D10BE" w:rsidR="0005050F" w:rsidRPr="00702CD9" w:rsidRDefault="0005050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0086EC59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</w:p>
          <w:p w14:paraId="1804AF26" w14:textId="6C5026C4" w:rsidR="00B1043F" w:rsidRPr="0027171C" w:rsidRDefault="00F035EC" w:rsidP="5E58544C">
            <w:pPr>
              <w:pStyle w:val="Cabealho"/>
              <w:jc w:val="both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Tais referências foram obtidas por meio de pesquisa de preço 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de empresas cadastradas em nosso sistema de gestão e obteve-se também pesquisa em órgãos similares cujo o ramo e </w:t>
            </w:r>
            <w:r w:rsidR="005B359B">
              <w:rPr>
                <w:rFonts w:cs="Times New Roman"/>
                <w:iCs/>
                <w:color w:val="000000" w:themeColor="text1"/>
              </w:rPr>
              <w:t>preços são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 compatíveis com o objeto, </w:t>
            </w:r>
            <w:r w:rsidRPr="00F035EC">
              <w:rPr>
                <w:rFonts w:cs="Times New Roman"/>
                <w:iCs/>
                <w:color w:val="000000" w:themeColor="text1"/>
              </w:rPr>
              <w:t xml:space="preserve">bem como contratações anteriores na </w:t>
            </w:r>
            <w:r w:rsidRPr="0027171C">
              <w:rPr>
                <w:rFonts w:cs="Times New Roman"/>
                <w:iCs/>
                <w:color w:val="000000" w:themeColor="text1"/>
              </w:rPr>
              <w:t>administração</w:t>
            </w:r>
            <w:r w:rsidRPr="0027171C">
              <w:rPr>
                <w:rFonts w:cs="Times New Roman"/>
                <w:bCs/>
                <w:iCs/>
                <w:color w:val="000000" w:themeColor="text1"/>
              </w:rPr>
              <w:t>.</w:t>
            </w:r>
          </w:p>
        </w:tc>
      </w:tr>
    </w:tbl>
    <w:p w14:paraId="12404B8C" w14:textId="09402B59" w:rsidR="00481D89" w:rsidRPr="00702CD9" w:rsidRDefault="00481D89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512F542A" w14:textId="067A64B8" w:rsidR="004F5B55" w:rsidRDefault="0006366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41763F" w:rsidRPr="0041763F">
        <w:rPr>
          <w:rFonts w:cs="Times New Roman"/>
          <w:b/>
          <w:bCs/>
          <w:iCs/>
          <w:color w:val="000000" w:themeColor="text1"/>
          <w:lang w:val="pt-PT"/>
        </w:rPr>
        <w:t>R$ 113.025,00 (cento e treze mil e vinte e cinco reais)</w:t>
      </w:r>
      <w:r w:rsidRPr="00063665">
        <w:rPr>
          <w:rFonts w:cs="Times New Roman"/>
          <w:iCs/>
          <w:color w:val="000000" w:themeColor="text1"/>
          <w:lang w:val="pt-PT"/>
        </w:rPr>
        <w:t>, com base na pesquisa de preços, estando dentro do valor da dispensa previsto no inciso I</w:t>
      </w:r>
      <w:r w:rsidR="005B359B">
        <w:rPr>
          <w:rFonts w:cs="Times New Roman"/>
          <w:iCs/>
          <w:color w:val="000000" w:themeColor="text1"/>
          <w:lang w:val="pt-PT"/>
        </w:rPr>
        <w:t>I</w:t>
      </w:r>
      <w:r w:rsidRPr="00063665">
        <w:rPr>
          <w:rFonts w:cs="Times New Roman"/>
          <w:iCs/>
          <w:color w:val="000000" w:themeColor="text1"/>
          <w:lang w:val="pt-PT"/>
        </w:rPr>
        <w:t xml:space="preserve"> do art. 75 da Lei 14.133/2021.</w:t>
      </w:r>
    </w:p>
    <w:p w14:paraId="62E97531" w14:textId="04FEFD46" w:rsidR="005B359B" w:rsidRPr="00702CD9" w:rsidRDefault="005B359B" w:rsidP="0041763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656FA0B7" w14:textId="02EA9545" w:rsidR="00342E8E" w:rsidRPr="00342E8E" w:rsidRDefault="00342E8E" w:rsidP="00342E8E">
      <w:pPr>
        <w:spacing w:line="360" w:lineRule="auto"/>
        <w:jc w:val="both"/>
        <w:rPr>
          <w:rFonts w:eastAsia="Segoe UI" w:cs="Times New Roman"/>
          <w:bCs/>
          <w:kern w:val="0"/>
          <w:lang w:val="pt-PT" w:eastAsia="pt-BR" w:bidi="ar-SA"/>
        </w:rPr>
      </w:pPr>
      <w:r w:rsidRPr="00342E8E">
        <w:rPr>
          <w:lang w:eastAsia="zh-CN"/>
        </w:rPr>
        <w:t>A aquisição de gêneros alimentícios para a merenda escolar no Brasil é um processo que exige planejamento, transparência e o cumprimento de diversas regulamentações. O objetivo principal é garantir refeições nutritivas e de qualidade para os alunos, além de promover o desenvolvimento local</w:t>
      </w:r>
      <w:r>
        <w:rPr>
          <w:lang w:eastAsia="zh-CN"/>
        </w:rPr>
        <w:t>,</w:t>
      </w:r>
      <w:r w:rsidRPr="00342E8E">
        <w:rPr>
          <w:rFonts w:eastAsia="Segoe UI" w:cs="Times New Roman"/>
          <w:bCs/>
          <w:kern w:val="0"/>
          <w:lang w:val="pt-PT" w:eastAsia="pt-BR" w:bidi="ar-SA"/>
        </w:rPr>
        <w:t xml:space="preserve"> </w:t>
      </w:r>
      <w:r w:rsidRPr="00342E8E">
        <w:rPr>
          <w:rFonts w:eastAsia="Segoe UI" w:cs="Times New Roman"/>
          <w:bCs/>
          <w:kern w:val="0"/>
          <w:lang w:val="pt-PT" w:eastAsia="pt-BR" w:bidi="ar-SA"/>
        </w:rPr>
        <w:t xml:space="preserve">contribuindo </w:t>
      </w:r>
      <w:r w:rsidR="00844D39">
        <w:rPr>
          <w:rFonts w:eastAsia="Segoe UI" w:cs="Times New Roman"/>
          <w:bCs/>
          <w:kern w:val="0"/>
          <w:lang w:val="pt-PT" w:eastAsia="pt-BR" w:bidi="ar-SA"/>
        </w:rPr>
        <w:t xml:space="preserve">com a </w:t>
      </w:r>
      <w:r w:rsidRPr="00342E8E">
        <w:rPr>
          <w:rFonts w:eastAsia="Segoe UI" w:cs="Times New Roman"/>
          <w:bCs/>
          <w:kern w:val="0"/>
          <w:lang w:val="pt-PT" w:eastAsia="pt-BR" w:bidi="ar-SA"/>
        </w:rPr>
        <w:t>aprendizagem, promovendo rendimento escolar dos estudantes e a formação de hábitos alimentares saudáveis.</w:t>
      </w:r>
    </w:p>
    <w:p w14:paraId="23FB7A83" w14:textId="06758040" w:rsidR="00EC133A" w:rsidRPr="00BC3C1B" w:rsidRDefault="00EC133A" w:rsidP="00EC133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7EAF4A2C" w14:textId="19DB0189" w:rsidR="003C354A" w:rsidRDefault="003C354A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p w14:paraId="5A2F5A12" w14:textId="77777777" w:rsidR="003C096E" w:rsidRDefault="003C096E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p w14:paraId="2D33B25B" w14:textId="77777777" w:rsidR="003C096E" w:rsidRDefault="003C096E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p w14:paraId="5449047D" w14:textId="77777777" w:rsidR="003C096E" w:rsidRPr="00702CD9" w:rsidRDefault="003C096E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lastRenderedPageBreak/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2F64A748" w14:textId="5D0C5A43" w:rsidR="003C354A" w:rsidRDefault="00EE3F93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>será parcelada</w:t>
      </w:r>
      <w:r w:rsidRPr="00A95A6F">
        <w:rPr>
          <w:rFonts w:cs="Times New Roman"/>
          <w:color w:val="000000" w:themeColor="text1"/>
          <w:shd w:val="clear" w:color="auto" w:fill="FFFFFF"/>
        </w:rPr>
        <w:t>, haja visto, sendo viável</w:t>
      </w:r>
      <w:r>
        <w:rPr>
          <w:rFonts w:cs="Times New Roman"/>
          <w:color w:val="000000" w:themeColor="text1"/>
          <w:shd w:val="clear" w:color="auto" w:fill="FFFFFF"/>
        </w:rPr>
        <w:t xml:space="preserve"> e vantajosa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, por se tratar </w:t>
      </w:r>
      <w:r>
        <w:rPr>
          <w:rFonts w:cs="Times New Roman"/>
          <w:color w:val="000000" w:themeColor="text1"/>
          <w:shd w:val="clear" w:color="auto" w:fill="FFFFFF"/>
        </w:rPr>
        <w:t xml:space="preserve">vários itens e </w:t>
      </w:r>
      <w:r w:rsidR="00365CB0">
        <w:rPr>
          <w:rFonts w:cs="Times New Roman"/>
          <w:color w:val="000000" w:themeColor="text1"/>
          <w:shd w:val="clear" w:color="auto" w:fill="FFFFFF"/>
        </w:rPr>
        <w:t>alimentos para merenda escolar</w:t>
      </w:r>
      <w:r>
        <w:rPr>
          <w:rFonts w:cs="Times New Roman"/>
          <w:color w:val="000000" w:themeColor="text1"/>
          <w:shd w:val="clear" w:color="auto" w:fill="FFFFFF"/>
        </w:rPr>
        <w:t>,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t>sendo entregues conforme a necessidade do órgão público.</w:t>
      </w:r>
    </w:p>
    <w:p w14:paraId="19E85084" w14:textId="77777777" w:rsidR="00EE3F93" w:rsidRPr="00702CD9" w:rsidRDefault="00EE3F9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137AD120" w14:textId="77777777" w:rsidR="00A875B2" w:rsidRPr="00A875B2" w:rsidRDefault="00A875B2" w:rsidP="00A875B2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b/>
        </w:rPr>
      </w:pPr>
      <w:r w:rsidRPr="00A875B2">
        <w:rPr>
          <w:b/>
        </w:rPr>
        <w:t>A aquisição eficiente e estratégica de gêneros alimentícios para a merenda escolar visa muito além de simplesmente preencher o prato dos alunos. Os resultados pretendidos abrangem impactos nutricionais, educacionais, sociais e econômicos.</w:t>
      </w:r>
    </w:p>
    <w:p w14:paraId="6815064E" w14:textId="36630A1E" w:rsidR="0069474C" w:rsidRPr="008C10FF" w:rsidRDefault="0069474C" w:rsidP="00A875B2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10AF29EA" w:rsidR="00E07AFA" w:rsidRDefault="00E07AFA" w:rsidP="00F55694">
            <w:pPr>
              <w:pStyle w:val="TableParagraph"/>
              <w:spacing w:before="105"/>
              <w:ind w:left="113"/>
            </w:pPr>
            <w:r>
              <w:t>(X)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5BE4579E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 w:rsidR="00250568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7DDF7085" w:rsidR="00E07AFA" w:rsidRDefault="00FD7A15" w:rsidP="00A95A6F">
            <w:pPr>
              <w:pStyle w:val="TableParagraph"/>
              <w:spacing w:before="104"/>
              <w:ind w:left="-681" w:firstLine="794"/>
            </w:pPr>
            <w:r>
              <w:t xml:space="preserve"> </w:t>
            </w:r>
            <w:r w:rsidR="00E07AFA">
              <w:t>(</w:t>
            </w:r>
            <w:r w:rsidR="00E07AFA">
              <w:rPr>
                <w:spacing w:val="-3"/>
              </w:rPr>
              <w:t xml:space="preserve">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2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t>uso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Default="00E07AFA" w:rsidP="00FD7A15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8C6732F" w:rsidR="00E07AFA" w:rsidRDefault="00E07AFA" w:rsidP="00F55694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7777777" w:rsidR="00E07AFA" w:rsidRDefault="00E07AFA" w:rsidP="00F55694">
            <w:pPr>
              <w:pStyle w:val="TableParagraph"/>
              <w:spacing w:before="107"/>
              <w:ind w:left="113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7AE9F1DD" w14:textId="77777777" w:rsidR="00A875B2" w:rsidRPr="00A875B2" w:rsidRDefault="00A875B2" w:rsidP="00A875B2">
      <w:pPr>
        <w:widowControl/>
        <w:suppressAutoHyphens w:val="0"/>
        <w:autoSpaceDN/>
        <w:spacing w:before="100" w:beforeAutospacing="1" w:after="100" w:afterAutospacing="1"/>
        <w:ind w:left="360"/>
        <w:jc w:val="both"/>
        <w:textAlignment w:val="auto"/>
        <w:rPr>
          <w:rFonts w:eastAsia="Times New Roman" w:cs="Times New Roman"/>
          <w:b/>
          <w:bCs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lastRenderedPageBreak/>
        <w:t>1. Resultados Nutricionais e de Saúde</w:t>
      </w:r>
    </w:p>
    <w:p w14:paraId="7BF0A9FC" w14:textId="77777777" w:rsidR="00A875B2" w:rsidRPr="00A875B2" w:rsidRDefault="00A875B2" w:rsidP="00A875B2">
      <w:pPr>
        <w:pStyle w:val="PargrafodaLista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Melhora do Estado Nutricional dos Alunos</w:t>
      </w:r>
      <w:r w:rsidRPr="00A875B2">
        <w:rPr>
          <w:rFonts w:eastAsia="Times New Roman" w:cs="Times New Roman"/>
          <w:kern w:val="0"/>
          <w:lang w:eastAsia="pt-BR" w:bidi="ar-SA"/>
        </w:rPr>
        <w:t>: Redução de deficiências nutricionais (anemia, desnutrição) e controle do sobrepeso e obesidade infantil, através da oferta de uma dieta equilibrada e variada.</w:t>
      </w:r>
    </w:p>
    <w:p w14:paraId="5AB62EBE" w14:textId="77777777" w:rsidR="00A875B2" w:rsidRPr="00A875B2" w:rsidRDefault="00A875B2" w:rsidP="00A875B2">
      <w:pPr>
        <w:pStyle w:val="PargrafodaLista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Promoção de Hábitos Alimentares Saudáveis:</w:t>
      </w:r>
      <w:r w:rsidRPr="00A875B2">
        <w:rPr>
          <w:rFonts w:eastAsia="Times New Roman" w:cs="Times New Roman"/>
          <w:kern w:val="0"/>
          <w:lang w:eastAsia="pt-BR" w:bidi="ar-SA"/>
        </w:rPr>
        <w:t xml:space="preserve"> Incentivo ao consumo de alimentos in natura e minimamente processados (frutas, verduras, legumes, cereais integrais, leguminosas) e desestímulo ao consumo de ultraprocessados, contribuindo para a formação de escolhas alimentares conscientes por toda a vida.</w:t>
      </w:r>
    </w:p>
    <w:p w14:paraId="1A2C1527" w14:textId="77777777" w:rsidR="00A875B2" w:rsidRPr="00A875B2" w:rsidRDefault="00A875B2" w:rsidP="00A875B2">
      <w:pPr>
        <w:pStyle w:val="PargrafodaLista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Prevenção de Doenças:</w:t>
      </w:r>
      <w:r w:rsidRPr="00A875B2">
        <w:rPr>
          <w:rFonts w:eastAsia="Times New Roman" w:cs="Times New Roman"/>
          <w:kern w:val="0"/>
          <w:lang w:eastAsia="pt-BR" w:bidi="ar-SA"/>
        </w:rPr>
        <w:t xml:space="preserve"> Contribuição para a prevenção de doenças crônicas não transmissíveis na idade adulta (diabetes, hipertensão, doenças cardiovasculares) relacionadas a maus hábitos alimentares.</w:t>
      </w:r>
    </w:p>
    <w:p w14:paraId="283442C0" w14:textId="77777777" w:rsidR="00A875B2" w:rsidRPr="00A875B2" w:rsidRDefault="00A875B2" w:rsidP="00A875B2">
      <w:pPr>
        <w:pStyle w:val="PargrafodaLista"/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Aumento da Ingestão de Vitaminas e Minerais</w:t>
      </w:r>
      <w:r w:rsidRPr="00A875B2">
        <w:rPr>
          <w:rFonts w:eastAsia="Times New Roman" w:cs="Times New Roman"/>
          <w:kern w:val="0"/>
          <w:lang w:eastAsia="pt-BR" w:bidi="ar-SA"/>
        </w:rPr>
        <w:t>: Assegurar que os alunos recebam os micronutrientes necessários para o desenvolvimento cognitivo e físico adequado.</w:t>
      </w:r>
    </w:p>
    <w:p w14:paraId="77F18176" w14:textId="77777777" w:rsidR="00A875B2" w:rsidRPr="00A875B2" w:rsidRDefault="00A875B2" w:rsidP="00A875B2">
      <w:pPr>
        <w:widowControl/>
        <w:suppressAutoHyphens w:val="0"/>
        <w:autoSpaceDN/>
        <w:spacing w:before="100" w:beforeAutospacing="1" w:after="100" w:afterAutospacing="1"/>
        <w:ind w:left="360"/>
        <w:jc w:val="both"/>
        <w:textAlignment w:val="auto"/>
        <w:rPr>
          <w:rFonts w:eastAsia="Times New Roman" w:cs="Times New Roman"/>
          <w:b/>
          <w:bCs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2. Resultados Educacionais</w:t>
      </w:r>
    </w:p>
    <w:p w14:paraId="0700712D" w14:textId="77777777" w:rsidR="00A875B2" w:rsidRPr="00A875B2" w:rsidRDefault="00A875B2" w:rsidP="00A875B2">
      <w:pPr>
        <w:pStyle w:val="PargrafodaLista"/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Melhora no Desempenho Escolar</w:t>
      </w:r>
      <w:r w:rsidRPr="00A875B2">
        <w:rPr>
          <w:rFonts w:eastAsia="Times New Roman" w:cs="Times New Roman"/>
          <w:kern w:val="0"/>
          <w:lang w:eastAsia="pt-BR" w:bidi="ar-SA"/>
        </w:rPr>
        <w:t>: Alunos bem alimentados têm melhor concentração, disposição e capacidade de aprendizado, impactando positivamente o rendimento acadêmico.</w:t>
      </w:r>
    </w:p>
    <w:p w14:paraId="37026EA4" w14:textId="77777777" w:rsidR="00A875B2" w:rsidRPr="00A875B2" w:rsidRDefault="00A875B2" w:rsidP="00A875B2">
      <w:pPr>
        <w:pStyle w:val="PargrafodaLista"/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Redução da Evasão e Retenção Escolar</w:t>
      </w:r>
      <w:r w:rsidRPr="00A875B2">
        <w:rPr>
          <w:rFonts w:eastAsia="Times New Roman" w:cs="Times New Roman"/>
          <w:kern w:val="0"/>
          <w:lang w:eastAsia="pt-BR" w:bidi="ar-SA"/>
        </w:rPr>
        <w:t>: A merenda escolar de qualidade atua como um fator de atratividade e permanência na escola, especialmente para alunos em situação de vulnerabilidade social.</w:t>
      </w:r>
    </w:p>
    <w:p w14:paraId="735B5241" w14:textId="77777777" w:rsidR="00A875B2" w:rsidRPr="00A875B2" w:rsidRDefault="00A875B2" w:rsidP="00A875B2">
      <w:pPr>
        <w:pStyle w:val="PargrafodaLista"/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Aumento da Frequência Escolar</w:t>
      </w:r>
      <w:r w:rsidRPr="00A875B2">
        <w:rPr>
          <w:rFonts w:eastAsia="Times New Roman" w:cs="Times New Roman"/>
          <w:kern w:val="0"/>
          <w:lang w:eastAsia="pt-BR" w:bidi="ar-SA"/>
        </w:rPr>
        <w:t>: A garantia de uma refeição nutritiva na escola pode ser um incentivo para a presença diária dos estudantes.</w:t>
      </w:r>
    </w:p>
    <w:p w14:paraId="116F8F29" w14:textId="77777777" w:rsidR="00A875B2" w:rsidRPr="00A875B2" w:rsidRDefault="00A875B2" w:rsidP="00A875B2">
      <w:pPr>
        <w:pStyle w:val="PargrafodaLista"/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Aprendizagem sobre Alimentação</w:t>
      </w:r>
      <w:r w:rsidRPr="00A875B2">
        <w:rPr>
          <w:rFonts w:eastAsia="Times New Roman" w:cs="Times New Roman"/>
          <w:kern w:val="0"/>
          <w:lang w:eastAsia="pt-BR" w:bidi="ar-SA"/>
        </w:rPr>
        <w:t>: A merenda se torna um laboratório de aprendizado, onde os alunos experimentam novos alimentos, aprendem sobre a origem dos produtos e a importância de uma alimentação saudável.</w:t>
      </w:r>
    </w:p>
    <w:p w14:paraId="7FD3E1FF" w14:textId="77777777" w:rsidR="00A875B2" w:rsidRPr="00A875B2" w:rsidRDefault="00A875B2" w:rsidP="00A875B2">
      <w:pPr>
        <w:widowControl/>
        <w:suppressAutoHyphens w:val="0"/>
        <w:autoSpaceDN/>
        <w:spacing w:before="100" w:beforeAutospacing="1" w:after="100" w:afterAutospacing="1"/>
        <w:ind w:left="360"/>
        <w:jc w:val="both"/>
        <w:textAlignment w:val="auto"/>
        <w:rPr>
          <w:rFonts w:eastAsia="Times New Roman" w:cs="Times New Roman"/>
          <w:b/>
          <w:bCs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3. Resultados Sociais e Econômicos</w:t>
      </w:r>
    </w:p>
    <w:p w14:paraId="08318191" w14:textId="77777777" w:rsidR="00A875B2" w:rsidRPr="00A875B2" w:rsidRDefault="00A875B2" w:rsidP="00A875B2">
      <w:pPr>
        <w:pStyle w:val="PargrafodaLista"/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Estímulo à Economia Circular:</w:t>
      </w:r>
      <w:r w:rsidRPr="00A875B2">
        <w:rPr>
          <w:rFonts w:eastAsia="Times New Roman" w:cs="Times New Roman"/>
          <w:kern w:val="0"/>
          <w:lang w:eastAsia="pt-BR" w:bidi="ar-SA"/>
        </w:rPr>
        <w:t xml:space="preserve"> A compra local mantém o dinheiro circulando dentro da própria comunidade, beneficiando diversos setores.</w:t>
      </w:r>
    </w:p>
    <w:p w14:paraId="6E445796" w14:textId="77777777" w:rsidR="00A875B2" w:rsidRPr="00A875B2" w:rsidRDefault="00A875B2" w:rsidP="00A875B2">
      <w:pPr>
        <w:pStyle w:val="PargrafodaLista"/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Redução da Insegurança Alimentar</w:t>
      </w:r>
      <w:r w:rsidRPr="00A875B2">
        <w:rPr>
          <w:rFonts w:eastAsia="Times New Roman" w:cs="Times New Roman"/>
          <w:kern w:val="0"/>
          <w:lang w:eastAsia="pt-BR" w:bidi="ar-SA"/>
        </w:rPr>
        <w:t>: Para muitas crianças, a merenda escolar é a principal ou única refeição nutritiva do dia, combatendo a fome e a insegurança alimentar em suas famílias.</w:t>
      </w:r>
    </w:p>
    <w:p w14:paraId="4EE1135F" w14:textId="77777777" w:rsidR="00A875B2" w:rsidRPr="00A875B2" w:rsidRDefault="00A875B2" w:rsidP="00A875B2">
      <w:pPr>
        <w:pStyle w:val="PargrafodaLista"/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b/>
          <w:bCs/>
          <w:kern w:val="0"/>
          <w:lang w:eastAsia="pt-BR" w:bidi="ar-SA"/>
        </w:rPr>
        <w:t>Transparência e Responsabilidade Social:</w:t>
      </w:r>
      <w:r w:rsidRPr="00A875B2">
        <w:rPr>
          <w:rFonts w:eastAsia="Times New Roman" w:cs="Times New Roman"/>
          <w:kern w:val="0"/>
          <w:lang w:eastAsia="pt-BR" w:bidi="ar-SA"/>
        </w:rPr>
        <w:t xml:space="preserve"> A gestão eficiente e transparente dos recursos públicos para a merenda escolar demonstra compromisso com a comunidade e o uso responsável do dinheiro do contribuinte.</w:t>
      </w:r>
    </w:p>
    <w:p w14:paraId="33B31B77" w14:textId="2BB10359" w:rsidR="0014271C" w:rsidRDefault="00A875B2" w:rsidP="00A875B2">
      <w:pPr>
        <w:widowControl/>
        <w:suppressAutoHyphens w:val="0"/>
        <w:autoSpaceDN/>
        <w:spacing w:before="100" w:beforeAutospacing="1" w:after="100" w:afterAutospacing="1"/>
        <w:ind w:left="360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A875B2">
        <w:rPr>
          <w:rFonts w:eastAsia="Times New Roman" w:cs="Times New Roman"/>
          <w:kern w:val="0"/>
          <w:lang w:eastAsia="pt-BR" w:bidi="ar-SA"/>
        </w:rPr>
        <w:lastRenderedPageBreak/>
        <w:t>Ao focar nesses resultados, a aquisição de gêneros alimentícios transcende a simples compra e venda, tornando-se um investimento estratégico no futuro das crianças e no desenvolvimento sustentável das comunidades.</w:t>
      </w:r>
    </w:p>
    <w:p w14:paraId="03EB901A" w14:textId="77777777" w:rsidR="00A875B2" w:rsidRPr="0074633E" w:rsidRDefault="00A875B2" w:rsidP="00A875B2">
      <w:pPr>
        <w:widowControl/>
        <w:suppressAutoHyphens w:val="0"/>
        <w:autoSpaceDN/>
        <w:spacing w:before="100" w:beforeAutospacing="1" w:after="100" w:afterAutospacing="1"/>
        <w:ind w:left="360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0E787C54" w:rsidR="00E07AFA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F466C18" w14:textId="77777777" w:rsidR="00FD7A15" w:rsidRPr="00E07AFA" w:rsidRDefault="00FD7A15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702CD9" w14:paraId="1821D643" w14:textId="77777777" w:rsidTr="00FD7A15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135EFD8C" w:rsidR="0085611C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52EC0457" w14:textId="77777777" w:rsidR="00A875B2" w:rsidRPr="00E07AFA" w:rsidRDefault="00A875B2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34B801AE" w14:textId="009DC63B" w:rsidR="002A30FA" w:rsidRPr="002A30FA" w:rsidRDefault="002A30FA" w:rsidP="002A30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A</w:t>
      </w:r>
      <w:r w:rsidRPr="002A30FA">
        <w:rPr>
          <w:rFonts w:eastAsia="Times New Roman" w:cs="Times New Roman"/>
          <w:kern w:val="0"/>
          <w:lang w:eastAsia="pt-BR" w:bidi="ar-SA"/>
        </w:rPr>
        <w:t>quisição de gêneros alimentícios para a merenda escolar, embora essencial para a saúde e o desenvolvimento dos estudantes, pode gerar diversos impactos ambientais ao longo de sua cadeia de produção, distribuição e consumo. É fundamental que as políticas de compra e gestão da merenda busquem mitigar esses impactos.</w:t>
      </w:r>
    </w:p>
    <w:p w14:paraId="12255285" w14:textId="77777777" w:rsidR="002A30FA" w:rsidRPr="002A30FA" w:rsidRDefault="002A30FA" w:rsidP="002A30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Aqui estão os principais impactos ambientais a serem considerados:</w:t>
      </w:r>
    </w:p>
    <w:p w14:paraId="3CDB77C8" w14:textId="77777777" w:rsidR="002A30FA" w:rsidRPr="002A30FA" w:rsidRDefault="002A30FA" w:rsidP="002A30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1. Pegada de Carbono (Emissões de Gases de Efeito Estufa - GEE)</w:t>
      </w:r>
    </w:p>
    <w:p w14:paraId="4A8F07BA" w14:textId="77777777" w:rsidR="002A30FA" w:rsidRPr="002A30FA" w:rsidRDefault="002A30FA" w:rsidP="002A30FA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Produção Agrícola: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A forma como os alimentos são produzidos tem um impacto significativo. </w:t>
      </w:r>
    </w:p>
    <w:p w14:paraId="668BA4F7" w14:textId="77777777" w:rsidR="002A30FA" w:rsidRPr="002A30FA" w:rsidRDefault="002A30FA" w:rsidP="002A30FA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Transporte: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164497C9" w14:textId="77777777" w:rsidR="002A30FA" w:rsidRPr="002A30FA" w:rsidRDefault="002A30FA" w:rsidP="002A30FA">
      <w:pPr>
        <w:widowControl/>
        <w:numPr>
          <w:ilvl w:val="1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Longas Distâncias: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Alimentos que vêm de outras regiões ou países exigem maior consumo de combustível e, consequentemente, mais emissões de CO2, especialmente em veículos refrigerados.</w:t>
      </w:r>
    </w:p>
    <w:p w14:paraId="1F9F76BF" w14:textId="77777777" w:rsidR="002A30FA" w:rsidRPr="002A30FA" w:rsidRDefault="002A30FA" w:rsidP="002A30FA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Processamento e Embalagem: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439B4ADD" w14:textId="77777777" w:rsidR="002A30FA" w:rsidRPr="002A30FA" w:rsidRDefault="002A30FA" w:rsidP="002A30FA">
      <w:pPr>
        <w:widowControl/>
        <w:numPr>
          <w:ilvl w:val="1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Indústria: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O processamento de alimentos consome energia e água, gerando efluentes e resíduos.</w:t>
      </w:r>
    </w:p>
    <w:p w14:paraId="3793D315" w14:textId="77777777" w:rsidR="002A30FA" w:rsidRPr="002A30FA" w:rsidRDefault="002A30FA" w:rsidP="002A30FA">
      <w:pPr>
        <w:widowControl/>
        <w:numPr>
          <w:ilvl w:val="1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Material de Embalagem: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A produção de plásticos, metais e vidros para embalagens consome recursos e energia, além de gerar resíduos de difícil decomposição.</w:t>
      </w:r>
    </w:p>
    <w:p w14:paraId="4566E91D" w14:textId="049CFB00" w:rsidR="002A30FA" w:rsidRPr="002A30FA" w:rsidRDefault="00370C9F" w:rsidP="002A30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>
        <w:rPr>
          <w:rFonts w:eastAsia="Times New Roman" w:cs="Times New Roman"/>
          <w:b/>
          <w:bCs/>
          <w:kern w:val="0"/>
          <w:lang w:eastAsia="pt-BR" w:bidi="ar-SA"/>
        </w:rPr>
        <w:t>2</w:t>
      </w:r>
      <w:r w:rsidR="002A30FA" w:rsidRPr="002A30FA">
        <w:rPr>
          <w:rFonts w:eastAsia="Times New Roman" w:cs="Times New Roman"/>
          <w:b/>
          <w:bCs/>
          <w:kern w:val="0"/>
          <w:lang w:eastAsia="pt-BR" w:bidi="ar-SA"/>
        </w:rPr>
        <w:t>. Geração de Resíduos</w:t>
      </w:r>
    </w:p>
    <w:p w14:paraId="1809E131" w14:textId="77777777" w:rsidR="002A30FA" w:rsidRPr="002A30FA" w:rsidRDefault="002A30FA" w:rsidP="002A30FA">
      <w:pPr>
        <w:widowControl/>
        <w:numPr>
          <w:ilvl w:val="0"/>
          <w:numId w:val="3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Desperdício de Alimentos: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Um dos maiores impactos. Alimentos descartados em aterros sanitários se decompõem </w:t>
      </w:r>
      <w:proofErr w:type="spellStart"/>
      <w:r w:rsidRPr="002A30FA">
        <w:rPr>
          <w:rFonts w:eastAsia="Times New Roman" w:cs="Times New Roman"/>
          <w:kern w:val="0"/>
          <w:lang w:eastAsia="pt-BR" w:bidi="ar-SA"/>
        </w:rPr>
        <w:t>anaerobiamente</w:t>
      </w:r>
      <w:proofErr w:type="spellEnd"/>
      <w:r w:rsidRPr="002A30FA">
        <w:rPr>
          <w:rFonts w:eastAsia="Times New Roman" w:cs="Times New Roman"/>
          <w:kern w:val="0"/>
          <w:lang w:eastAsia="pt-BR" w:bidi="ar-SA"/>
        </w:rPr>
        <w:t>, liberando metano, um gás de efeito estufa 25 vezes mais potente que o CO2. O desperdício ocorre em todas as etapas: colheita, transporte, armazenamento, preparo e no prato do aluno.</w:t>
      </w:r>
    </w:p>
    <w:p w14:paraId="4E10DE9B" w14:textId="77777777" w:rsidR="002A30FA" w:rsidRPr="002A30FA" w:rsidRDefault="002A30FA" w:rsidP="002A30FA">
      <w:pPr>
        <w:widowControl/>
        <w:numPr>
          <w:ilvl w:val="0"/>
          <w:numId w:val="3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Embalagens: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A grande quantidade de embalagens utilizadas nos alimentos processados e transportados para as escolas gera um volume significativo de resíduos sólidos.</w:t>
      </w:r>
    </w:p>
    <w:p w14:paraId="7838B6EC" w14:textId="1A1D9CA9" w:rsidR="002A30FA" w:rsidRPr="002A30FA" w:rsidRDefault="00370C9F" w:rsidP="002A30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>
        <w:rPr>
          <w:rFonts w:eastAsia="Times New Roman" w:cs="Times New Roman"/>
          <w:b/>
          <w:bCs/>
          <w:kern w:val="0"/>
          <w:lang w:eastAsia="pt-BR" w:bidi="ar-SA"/>
        </w:rPr>
        <w:t>3</w:t>
      </w:r>
      <w:r w:rsidR="002A30FA" w:rsidRPr="002A30FA">
        <w:rPr>
          <w:rFonts w:eastAsia="Times New Roman" w:cs="Times New Roman"/>
          <w:b/>
          <w:bCs/>
          <w:kern w:val="0"/>
          <w:lang w:eastAsia="pt-BR" w:bidi="ar-SA"/>
        </w:rPr>
        <w:t>. Contaminação Ambiental</w:t>
      </w:r>
    </w:p>
    <w:p w14:paraId="32CE7B0A" w14:textId="77777777" w:rsidR="002A30FA" w:rsidRPr="002A30FA" w:rsidRDefault="002A30FA" w:rsidP="002A30FA">
      <w:pPr>
        <w:widowControl/>
        <w:numPr>
          <w:ilvl w:val="0"/>
          <w:numId w:val="4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Agrotóxicos e Fertilizantes: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O uso indiscriminado ou inadequado pode contaminar o solo e a água (rios, lençóis freáticos), afetando ecossistemas aquáticos e terrestres e a saúde humana.</w:t>
      </w:r>
    </w:p>
    <w:p w14:paraId="3652F97D" w14:textId="77777777" w:rsidR="002A30FA" w:rsidRPr="002A30FA" w:rsidRDefault="002A30FA" w:rsidP="002A30FA">
      <w:pPr>
        <w:widowControl/>
        <w:numPr>
          <w:ilvl w:val="0"/>
          <w:numId w:val="4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Efluentes: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Resíduos líquidos do processamento de alimentos podem contaminar corpos d'água se não forem tratados adequadamente.</w:t>
      </w:r>
    </w:p>
    <w:p w14:paraId="37E6A8F5" w14:textId="241B6FD8" w:rsidR="002A30FA" w:rsidRPr="002A30FA" w:rsidRDefault="002A30FA" w:rsidP="00D12E68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lastRenderedPageBreak/>
        <w:t>Soluções e Boas Práticas para Mitigar os Impactos Ambientais:</w:t>
      </w:r>
    </w:p>
    <w:p w14:paraId="26EC90AD" w14:textId="77777777" w:rsidR="002A30FA" w:rsidRPr="002A30FA" w:rsidRDefault="002A30FA" w:rsidP="002A30FA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Combate ao Desperdício de Alimentos: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C77163C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Planejamento de Cardápios e Porções: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Ajustar as quantidades servidas às necessidades dos alunos.</w:t>
      </w:r>
    </w:p>
    <w:p w14:paraId="5F9CF062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Educação Alimentar e Nutricional: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Conscientizar alunos e funcionários sobre a importância de não desperdiçar.</w:t>
      </w:r>
    </w:p>
    <w:p w14:paraId="22BED1B8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Reaproveitamento: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Utilização integral dos alimentos (cascas, talos) no preparo de novas receitas.</w:t>
      </w:r>
    </w:p>
    <w:p w14:paraId="0DE9982D" w14:textId="77777777" w:rsidR="002A30FA" w:rsidRPr="002A30FA" w:rsidRDefault="002A30FA" w:rsidP="002A30FA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Embalagens Sustentáveis: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57FA481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Priorizar produtos a granel ou em embalagens maiores e retornáveis.</w:t>
      </w:r>
    </w:p>
    <w:p w14:paraId="1CD6BE82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Optar por embalagens recicláveis, biodegradáveis ou compostáveis.</w:t>
      </w:r>
    </w:p>
    <w:p w14:paraId="75574C4D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Incentivar a coleta seletiva e a reciclagem nas escolas.</w:t>
      </w:r>
    </w:p>
    <w:p w14:paraId="31172653" w14:textId="77777777" w:rsidR="002A30FA" w:rsidRPr="002A30FA" w:rsidRDefault="002A30FA" w:rsidP="002A30FA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Gestão da Cadeia de Suprimentos: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60261DD6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Otimizar rotas de transporte.</w:t>
      </w:r>
    </w:p>
    <w:p w14:paraId="696A2CC6" w14:textId="77777777" w:rsidR="002A30FA" w:rsidRPr="002A30FA" w:rsidRDefault="002A30FA" w:rsidP="002A30FA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Armazenamento adequado para evitar perdas e deterioração.</w:t>
      </w:r>
    </w:p>
    <w:p w14:paraId="29449361" w14:textId="77777777" w:rsidR="002A30FA" w:rsidRPr="002A30FA" w:rsidRDefault="002A30FA" w:rsidP="002A30FA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b/>
          <w:bCs/>
          <w:kern w:val="0"/>
          <w:lang w:eastAsia="pt-BR" w:bidi="ar-SA"/>
        </w:rPr>
        <w:t>Educação Ambiental:</w:t>
      </w:r>
      <w:r w:rsidRPr="002A30FA">
        <w:rPr>
          <w:rFonts w:eastAsia="Times New Roman" w:cs="Times New Roman"/>
          <w:kern w:val="0"/>
          <w:lang w:eastAsia="pt-BR" w:bidi="ar-SA"/>
        </w:rPr>
        <w:t xml:space="preserve"> Integrar temas de sustentabilidade, consumo consciente e impactos da alimentação no currículo escolar.</w:t>
      </w:r>
    </w:p>
    <w:p w14:paraId="46D6B5D9" w14:textId="77777777" w:rsidR="002A30FA" w:rsidRPr="002A30FA" w:rsidRDefault="002A30FA" w:rsidP="002A30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2A30FA">
        <w:rPr>
          <w:rFonts w:eastAsia="Times New Roman" w:cs="Times New Roman"/>
          <w:kern w:val="0"/>
          <w:lang w:eastAsia="pt-BR" w:bidi="ar-SA"/>
        </w:rPr>
        <w:t>A adoção de uma abordagem sistêmica e sustentável na aquisição e gestão da merenda escolar não só beneficia o meio ambiente, mas também fortalece a economia local, promove a saúde dos alunos e constrói uma cultura de responsabilidade ambiental.</w:t>
      </w:r>
    </w:p>
    <w:p w14:paraId="112CBFD3" w14:textId="55F2FA79" w:rsidR="00851819" w:rsidRPr="0056458B" w:rsidRDefault="00851819" w:rsidP="008D028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218A4B59" w14:textId="2E3E5125" w:rsidR="000544EF" w:rsidRPr="000544EF" w:rsidRDefault="000544EF" w:rsidP="000544EF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3376BD" w:rsidRPr="003376BD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AQUISIÇÃO DE GÊNEROS ALIMENTÍCIOS PARA ALIMENTAÇÃO ESCOLAR – ENTREGA PARCELADA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="00A12FB7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7F7822BB" w14:textId="77777777" w:rsidR="00CB3496" w:rsidRPr="00702CD9" w:rsidRDefault="00CB349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p w14:paraId="0B258C9A" w14:textId="43231609" w:rsidR="002B0B05" w:rsidRDefault="002B0B05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p w14:paraId="34112E0A" w14:textId="179F62B4" w:rsidR="00995EF6" w:rsidRDefault="00995E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p w14:paraId="589A50AE" w14:textId="00CB9081" w:rsidR="0050487D" w:rsidRDefault="0050487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p w14:paraId="1C735857" w14:textId="77777777" w:rsidR="0050487D" w:rsidRDefault="0050487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p w14:paraId="5E8CAE41" w14:textId="77777777" w:rsidR="00995EF6" w:rsidRPr="00702CD9" w:rsidRDefault="00995E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lastRenderedPageBreak/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2767E441" w14:textId="77777777" w:rsidR="002C42B6" w:rsidRPr="002C42B6" w:rsidRDefault="002C42B6" w:rsidP="002C42B6">
            <w:pPr>
              <w:jc w:val="center"/>
              <w:rPr>
                <w:b/>
              </w:rPr>
            </w:pPr>
            <w:r w:rsidRPr="002C42B6">
              <w:rPr>
                <w:b/>
              </w:rPr>
              <w:t xml:space="preserve">Bárbara </w:t>
            </w:r>
            <w:proofErr w:type="spellStart"/>
            <w:r w:rsidRPr="002C42B6">
              <w:rPr>
                <w:b/>
              </w:rPr>
              <w:t>Laísla</w:t>
            </w:r>
            <w:proofErr w:type="spellEnd"/>
            <w:r w:rsidRPr="002C42B6">
              <w:rPr>
                <w:b/>
              </w:rPr>
              <w:t xml:space="preserve"> Bernardo Brito </w:t>
            </w:r>
            <w:proofErr w:type="spellStart"/>
            <w:r w:rsidRPr="002C42B6">
              <w:rPr>
                <w:b/>
              </w:rPr>
              <w:t>Lorencetti</w:t>
            </w:r>
            <w:proofErr w:type="spellEnd"/>
          </w:p>
          <w:p w14:paraId="14B3BCC4" w14:textId="57AC598B" w:rsidR="00522991" w:rsidRDefault="002C42B6" w:rsidP="002C42B6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2C42B6">
              <w:rPr>
                <w:b/>
              </w:rPr>
              <w:t>Nutricionista CRN-3</w:t>
            </w:r>
          </w:p>
          <w:p w14:paraId="167CA747" w14:textId="68BC23BB" w:rsidR="00E65AD2" w:rsidRPr="00E65AD2" w:rsidRDefault="00E65AD2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344A09AD" w:rsidR="00E65AD2" w:rsidRPr="00446EEE" w:rsidRDefault="00E65AD2" w:rsidP="00FD265B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2C42B6">
              <w:rPr>
                <w:rFonts w:cs="Times New Roman"/>
                <w:color w:val="000000" w:themeColor="text1"/>
              </w:rPr>
              <w:t>17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2C42B6">
              <w:rPr>
                <w:rFonts w:cs="Times New Roman"/>
                <w:color w:val="000000" w:themeColor="text1"/>
              </w:rPr>
              <w:t>abril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2"/>
      <w:footerReference w:type="default" r:id="rId13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1F61" w14:textId="77777777" w:rsidR="00892B38" w:rsidRDefault="00892B38">
      <w:r>
        <w:separator/>
      </w:r>
    </w:p>
  </w:endnote>
  <w:endnote w:type="continuationSeparator" w:id="0">
    <w:p w14:paraId="30ABEC13" w14:textId="77777777" w:rsidR="00892B38" w:rsidRDefault="00892B38">
      <w:r>
        <w:continuationSeparator/>
      </w:r>
    </w:p>
  </w:endnote>
  <w:endnote w:type="continuationNotice" w:id="1">
    <w:p w14:paraId="7981C339" w14:textId="77777777" w:rsidR="00892B38" w:rsidRDefault="00892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0AECB87C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ED37A0">
      <w:rPr>
        <w:noProof/>
        <w:shd w:val="clear" w:color="auto" w:fill="FFFFFF"/>
      </w:rPr>
      <w:t>18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B458" w14:textId="77777777" w:rsidR="00892B38" w:rsidRDefault="00892B38">
      <w:r>
        <w:rPr>
          <w:color w:val="000000"/>
        </w:rPr>
        <w:separator/>
      </w:r>
    </w:p>
  </w:footnote>
  <w:footnote w:type="continuationSeparator" w:id="0">
    <w:p w14:paraId="529FEF4C" w14:textId="77777777" w:rsidR="00892B38" w:rsidRDefault="00892B38">
      <w:r>
        <w:continuationSeparator/>
      </w:r>
    </w:p>
  </w:footnote>
  <w:footnote w:type="continuationNotice" w:id="1">
    <w:p w14:paraId="5086F75F" w14:textId="77777777" w:rsidR="00892B38" w:rsidRDefault="00892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9DE"/>
    <w:multiLevelType w:val="multilevel"/>
    <w:tmpl w:val="787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B04"/>
    <w:multiLevelType w:val="multilevel"/>
    <w:tmpl w:val="D30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576D"/>
    <w:multiLevelType w:val="multilevel"/>
    <w:tmpl w:val="68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5BA0"/>
    <w:multiLevelType w:val="multilevel"/>
    <w:tmpl w:val="B2B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5208D"/>
    <w:multiLevelType w:val="multilevel"/>
    <w:tmpl w:val="DB0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8" w15:restartNumberingAfterBreak="0">
    <w:nsid w:val="1433147D"/>
    <w:multiLevelType w:val="multilevel"/>
    <w:tmpl w:val="4A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C0F83"/>
    <w:multiLevelType w:val="multilevel"/>
    <w:tmpl w:val="913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E6656"/>
    <w:multiLevelType w:val="multilevel"/>
    <w:tmpl w:val="9748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17405"/>
    <w:multiLevelType w:val="multilevel"/>
    <w:tmpl w:val="78D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B58AB"/>
    <w:multiLevelType w:val="multilevel"/>
    <w:tmpl w:val="A25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D5F2B"/>
    <w:multiLevelType w:val="hybridMultilevel"/>
    <w:tmpl w:val="F4C270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A3EFC"/>
    <w:multiLevelType w:val="multilevel"/>
    <w:tmpl w:val="2B6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363A04CE"/>
    <w:multiLevelType w:val="multilevel"/>
    <w:tmpl w:val="F99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37A4D"/>
    <w:multiLevelType w:val="multilevel"/>
    <w:tmpl w:val="4EA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0" w15:restartNumberingAfterBreak="0">
    <w:nsid w:val="37F86499"/>
    <w:multiLevelType w:val="multilevel"/>
    <w:tmpl w:val="366A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C5808"/>
    <w:multiLevelType w:val="multilevel"/>
    <w:tmpl w:val="C3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2366B"/>
    <w:multiLevelType w:val="multilevel"/>
    <w:tmpl w:val="C09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6679E"/>
    <w:multiLevelType w:val="hybridMultilevel"/>
    <w:tmpl w:val="F4F4CC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923B1E"/>
    <w:multiLevelType w:val="multilevel"/>
    <w:tmpl w:val="5AB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23BDE"/>
    <w:multiLevelType w:val="multilevel"/>
    <w:tmpl w:val="F49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C3BA6"/>
    <w:multiLevelType w:val="multilevel"/>
    <w:tmpl w:val="0D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D54FC"/>
    <w:multiLevelType w:val="hybridMultilevel"/>
    <w:tmpl w:val="1F5EA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D169F7"/>
    <w:multiLevelType w:val="multilevel"/>
    <w:tmpl w:val="F4F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93EE8"/>
    <w:multiLevelType w:val="multilevel"/>
    <w:tmpl w:val="2E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B5F28"/>
    <w:multiLevelType w:val="hybridMultilevel"/>
    <w:tmpl w:val="AF4A3D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4274A2"/>
    <w:multiLevelType w:val="multilevel"/>
    <w:tmpl w:val="7F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DA10B9"/>
    <w:multiLevelType w:val="multilevel"/>
    <w:tmpl w:val="9A8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AD24AC"/>
    <w:multiLevelType w:val="multilevel"/>
    <w:tmpl w:val="03B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4B3835"/>
    <w:multiLevelType w:val="multilevel"/>
    <w:tmpl w:val="333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187662"/>
    <w:multiLevelType w:val="hybridMultilevel"/>
    <w:tmpl w:val="F28200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64466"/>
    <w:multiLevelType w:val="multilevel"/>
    <w:tmpl w:val="88B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6547F"/>
    <w:multiLevelType w:val="multilevel"/>
    <w:tmpl w:val="896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348781">
    <w:abstractNumId w:val="16"/>
  </w:num>
  <w:num w:numId="2" w16cid:durableId="283391835">
    <w:abstractNumId w:val="1"/>
  </w:num>
  <w:num w:numId="3" w16cid:durableId="1820919408">
    <w:abstractNumId w:val="25"/>
  </w:num>
  <w:num w:numId="4" w16cid:durableId="593704006">
    <w:abstractNumId w:val="19"/>
  </w:num>
  <w:num w:numId="5" w16cid:durableId="1896893291">
    <w:abstractNumId w:val="2"/>
  </w:num>
  <w:num w:numId="6" w16cid:durableId="146169332">
    <w:abstractNumId w:val="7"/>
  </w:num>
  <w:num w:numId="7" w16cid:durableId="439885601">
    <w:abstractNumId w:val="35"/>
  </w:num>
  <w:num w:numId="8" w16cid:durableId="1757629436">
    <w:abstractNumId w:val="11"/>
  </w:num>
  <w:num w:numId="9" w16cid:durableId="531114331">
    <w:abstractNumId w:val="27"/>
  </w:num>
  <w:num w:numId="10" w16cid:durableId="1945768559">
    <w:abstractNumId w:val="18"/>
  </w:num>
  <w:num w:numId="11" w16cid:durableId="563218030">
    <w:abstractNumId w:val="3"/>
  </w:num>
  <w:num w:numId="12" w16cid:durableId="74938943">
    <w:abstractNumId w:val="39"/>
  </w:num>
  <w:num w:numId="13" w16cid:durableId="1124809437">
    <w:abstractNumId w:val="28"/>
  </w:num>
  <w:num w:numId="14" w16cid:durableId="2013022010">
    <w:abstractNumId w:val="30"/>
  </w:num>
  <w:num w:numId="15" w16cid:durableId="876815376">
    <w:abstractNumId w:val="4"/>
  </w:num>
  <w:num w:numId="16" w16cid:durableId="1551960283">
    <w:abstractNumId w:val="12"/>
  </w:num>
  <w:num w:numId="17" w16cid:durableId="1770469846">
    <w:abstractNumId w:val="13"/>
  </w:num>
  <w:num w:numId="18" w16cid:durableId="1074350569">
    <w:abstractNumId w:val="36"/>
  </w:num>
  <w:num w:numId="19" w16cid:durableId="1592549169">
    <w:abstractNumId w:val="33"/>
  </w:num>
  <w:num w:numId="20" w16cid:durableId="377583489">
    <w:abstractNumId w:val="8"/>
  </w:num>
  <w:num w:numId="21" w16cid:durableId="1649239808">
    <w:abstractNumId w:val="37"/>
  </w:num>
  <w:num w:numId="22" w16cid:durableId="1572933481">
    <w:abstractNumId w:val="10"/>
  </w:num>
  <w:num w:numId="23" w16cid:durableId="60760513">
    <w:abstractNumId w:val="34"/>
  </w:num>
  <w:num w:numId="24" w16cid:durableId="1776974343">
    <w:abstractNumId w:val="0"/>
  </w:num>
  <w:num w:numId="25" w16cid:durableId="1822653976">
    <w:abstractNumId w:val="5"/>
  </w:num>
  <w:num w:numId="26" w16cid:durableId="380981922">
    <w:abstractNumId w:val="24"/>
  </w:num>
  <w:num w:numId="27" w16cid:durableId="398404923">
    <w:abstractNumId w:val="21"/>
  </w:num>
  <w:num w:numId="28" w16cid:durableId="1098647156">
    <w:abstractNumId w:val="26"/>
  </w:num>
  <w:num w:numId="29" w16cid:durableId="793597401">
    <w:abstractNumId w:val="31"/>
  </w:num>
  <w:num w:numId="30" w16cid:durableId="546919137">
    <w:abstractNumId w:val="9"/>
  </w:num>
  <w:num w:numId="31" w16cid:durableId="75633933">
    <w:abstractNumId w:val="22"/>
  </w:num>
  <w:num w:numId="32" w16cid:durableId="1994991936">
    <w:abstractNumId w:val="14"/>
  </w:num>
  <w:num w:numId="33" w16cid:durableId="824854404">
    <w:abstractNumId w:val="29"/>
  </w:num>
  <w:num w:numId="34" w16cid:durableId="176891525">
    <w:abstractNumId w:val="32"/>
  </w:num>
  <w:num w:numId="35" w16cid:durableId="160705286">
    <w:abstractNumId w:val="23"/>
  </w:num>
  <w:num w:numId="36" w16cid:durableId="2025546167">
    <w:abstractNumId w:val="38"/>
  </w:num>
  <w:num w:numId="37" w16cid:durableId="1511292038">
    <w:abstractNumId w:val="15"/>
  </w:num>
  <w:num w:numId="38" w16cid:durableId="1171137341">
    <w:abstractNumId w:val="40"/>
  </w:num>
  <w:num w:numId="39" w16cid:durableId="539244121">
    <w:abstractNumId w:val="6"/>
  </w:num>
  <w:num w:numId="40" w16cid:durableId="376049675">
    <w:abstractNumId w:val="20"/>
  </w:num>
  <w:num w:numId="41" w16cid:durableId="727922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6A30"/>
    <w:rsid w:val="000218AF"/>
    <w:rsid w:val="000254FD"/>
    <w:rsid w:val="00027794"/>
    <w:rsid w:val="00030079"/>
    <w:rsid w:val="0003083B"/>
    <w:rsid w:val="00030AA0"/>
    <w:rsid w:val="00035C6C"/>
    <w:rsid w:val="00035D1F"/>
    <w:rsid w:val="00036943"/>
    <w:rsid w:val="00047D4F"/>
    <w:rsid w:val="00050474"/>
    <w:rsid w:val="0005050F"/>
    <w:rsid w:val="000544EF"/>
    <w:rsid w:val="000577E9"/>
    <w:rsid w:val="00060DF1"/>
    <w:rsid w:val="00061805"/>
    <w:rsid w:val="0006207A"/>
    <w:rsid w:val="00063665"/>
    <w:rsid w:val="00064026"/>
    <w:rsid w:val="0006532B"/>
    <w:rsid w:val="00070F8D"/>
    <w:rsid w:val="00071890"/>
    <w:rsid w:val="00077504"/>
    <w:rsid w:val="00080777"/>
    <w:rsid w:val="00082192"/>
    <w:rsid w:val="00087207"/>
    <w:rsid w:val="00094A69"/>
    <w:rsid w:val="00094D1D"/>
    <w:rsid w:val="00096072"/>
    <w:rsid w:val="00096E3E"/>
    <w:rsid w:val="000A1B37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4653"/>
    <w:rsid w:val="000C5446"/>
    <w:rsid w:val="000C621D"/>
    <w:rsid w:val="000C6DD8"/>
    <w:rsid w:val="000D0243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215D"/>
    <w:rsid w:val="001075DA"/>
    <w:rsid w:val="001079E0"/>
    <w:rsid w:val="00110EEE"/>
    <w:rsid w:val="00114E23"/>
    <w:rsid w:val="001162F7"/>
    <w:rsid w:val="00116D3A"/>
    <w:rsid w:val="0011759D"/>
    <w:rsid w:val="0012142F"/>
    <w:rsid w:val="00123317"/>
    <w:rsid w:val="00123701"/>
    <w:rsid w:val="00123CEB"/>
    <w:rsid w:val="00131918"/>
    <w:rsid w:val="00133135"/>
    <w:rsid w:val="001354F9"/>
    <w:rsid w:val="00136FB1"/>
    <w:rsid w:val="001373A3"/>
    <w:rsid w:val="00137ED5"/>
    <w:rsid w:val="00140850"/>
    <w:rsid w:val="00140979"/>
    <w:rsid w:val="001421CB"/>
    <w:rsid w:val="0014271C"/>
    <w:rsid w:val="001525DA"/>
    <w:rsid w:val="00152D02"/>
    <w:rsid w:val="001539C0"/>
    <w:rsid w:val="001607D1"/>
    <w:rsid w:val="00160F32"/>
    <w:rsid w:val="001619A5"/>
    <w:rsid w:val="00165222"/>
    <w:rsid w:val="00174E54"/>
    <w:rsid w:val="0018515F"/>
    <w:rsid w:val="00185DA5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2A7B"/>
    <w:rsid w:val="001B5F01"/>
    <w:rsid w:val="001B629B"/>
    <w:rsid w:val="001B7447"/>
    <w:rsid w:val="001C0588"/>
    <w:rsid w:val="001D0C7C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29AF"/>
    <w:rsid w:val="002040BB"/>
    <w:rsid w:val="00204556"/>
    <w:rsid w:val="002049F1"/>
    <w:rsid w:val="00205C68"/>
    <w:rsid w:val="0021333F"/>
    <w:rsid w:val="0021466C"/>
    <w:rsid w:val="002146A6"/>
    <w:rsid w:val="002223EF"/>
    <w:rsid w:val="002235A1"/>
    <w:rsid w:val="00227E9F"/>
    <w:rsid w:val="00230E2D"/>
    <w:rsid w:val="002321A2"/>
    <w:rsid w:val="00232F2C"/>
    <w:rsid w:val="002336A4"/>
    <w:rsid w:val="00234B77"/>
    <w:rsid w:val="0024231C"/>
    <w:rsid w:val="00250568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645F1"/>
    <w:rsid w:val="002704B7"/>
    <w:rsid w:val="0027171C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0FA"/>
    <w:rsid w:val="002A374E"/>
    <w:rsid w:val="002A4F97"/>
    <w:rsid w:val="002B0B05"/>
    <w:rsid w:val="002B3446"/>
    <w:rsid w:val="002B6F91"/>
    <w:rsid w:val="002B7273"/>
    <w:rsid w:val="002C2DE2"/>
    <w:rsid w:val="002C42B6"/>
    <w:rsid w:val="002D663C"/>
    <w:rsid w:val="002D73F9"/>
    <w:rsid w:val="002D7E74"/>
    <w:rsid w:val="002F022B"/>
    <w:rsid w:val="002F19B5"/>
    <w:rsid w:val="002F1F17"/>
    <w:rsid w:val="003009DF"/>
    <w:rsid w:val="00302828"/>
    <w:rsid w:val="00303406"/>
    <w:rsid w:val="00303A97"/>
    <w:rsid w:val="003040F6"/>
    <w:rsid w:val="00304111"/>
    <w:rsid w:val="0030688F"/>
    <w:rsid w:val="00312D0D"/>
    <w:rsid w:val="003139F9"/>
    <w:rsid w:val="00315D28"/>
    <w:rsid w:val="00324387"/>
    <w:rsid w:val="003269A4"/>
    <w:rsid w:val="003376BD"/>
    <w:rsid w:val="00340E52"/>
    <w:rsid w:val="00342C3C"/>
    <w:rsid w:val="00342E8E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64B93"/>
    <w:rsid w:val="00365CB0"/>
    <w:rsid w:val="0037002E"/>
    <w:rsid w:val="00370C9F"/>
    <w:rsid w:val="00372DD7"/>
    <w:rsid w:val="003749E4"/>
    <w:rsid w:val="00374CD1"/>
    <w:rsid w:val="003755F2"/>
    <w:rsid w:val="00384EFE"/>
    <w:rsid w:val="00385569"/>
    <w:rsid w:val="003A2321"/>
    <w:rsid w:val="003A2B83"/>
    <w:rsid w:val="003A4756"/>
    <w:rsid w:val="003A542B"/>
    <w:rsid w:val="003B4253"/>
    <w:rsid w:val="003B7BA0"/>
    <w:rsid w:val="003C096E"/>
    <w:rsid w:val="003C354A"/>
    <w:rsid w:val="003C3610"/>
    <w:rsid w:val="003C6E3A"/>
    <w:rsid w:val="003C77F5"/>
    <w:rsid w:val="003D079D"/>
    <w:rsid w:val="003D320D"/>
    <w:rsid w:val="003D5AD2"/>
    <w:rsid w:val="003E4D1E"/>
    <w:rsid w:val="003E5F07"/>
    <w:rsid w:val="003E6F1C"/>
    <w:rsid w:val="003E727C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805"/>
    <w:rsid w:val="00414B84"/>
    <w:rsid w:val="00415945"/>
    <w:rsid w:val="004162D2"/>
    <w:rsid w:val="0041763F"/>
    <w:rsid w:val="00420E27"/>
    <w:rsid w:val="00422687"/>
    <w:rsid w:val="00422CF8"/>
    <w:rsid w:val="0042465B"/>
    <w:rsid w:val="00424C1A"/>
    <w:rsid w:val="00427288"/>
    <w:rsid w:val="0043066F"/>
    <w:rsid w:val="00430A50"/>
    <w:rsid w:val="00430F1B"/>
    <w:rsid w:val="00432BB9"/>
    <w:rsid w:val="00437A2D"/>
    <w:rsid w:val="004405CA"/>
    <w:rsid w:val="00441392"/>
    <w:rsid w:val="00442C96"/>
    <w:rsid w:val="00446EEE"/>
    <w:rsid w:val="00451282"/>
    <w:rsid w:val="0045157B"/>
    <w:rsid w:val="00454757"/>
    <w:rsid w:val="00454A62"/>
    <w:rsid w:val="0045602D"/>
    <w:rsid w:val="00457311"/>
    <w:rsid w:val="00462486"/>
    <w:rsid w:val="0046536A"/>
    <w:rsid w:val="004673E6"/>
    <w:rsid w:val="00467426"/>
    <w:rsid w:val="004675A9"/>
    <w:rsid w:val="0047560A"/>
    <w:rsid w:val="00480FD8"/>
    <w:rsid w:val="00481D89"/>
    <w:rsid w:val="0048440A"/>
    <w:rsid w:val="0048779B"/>
    <w:rsid w:val="004924AE"/>
    <w:rsid w:val="00493465"/>
    <w:rsid w:val="0049500C"/>
    <w:rsid w:val="00496F46"/>
    <w:rsid w:val="0049732A"/>
    <w:rsid w:val="0049760D"/>
    <w:rsid w:val="004A1997"/>
    <w:rsid w:val="004A2D8E"/>
    <w:rsid w:val="004A36B3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4582"/>
    <w:rsid w:val="004D76EC"/>
    <w:rsid w:val="004E2D4A"/>
    <w:rsid w:val="004E5C7E"/>
    <w:rsid w:val="004E70D1"/>
    <w:rsid w:val="004F32F9"/>
    <w:rsid w:val="004F5B55"/>
    <w:rsid w:val="004F6AD8"/>
    <w:rsid w:val="00503D60"/>
    <w:rsid w:val="0050487D"/>
    <w:rsid w:val="00505C3E"/>
    <w:rsid w:val="00505DFF"/>
    <w:rsid w:val="005061E1"/>
    <w:rsid w:val="005073C4"/>
    <w:rsid w:val="0051046E"/>
    <w:rsid w:val="005115F1"/>
    <w:rsid w:val="00511BC0"/>
    <w:rsid w:val="00515B8B"/>
    <w:rsid w:val="00515ED6"/>
    <w:rsid w:val="0052015F"/>
    <w:rsid w:val="005201A1"/>
    <w:rsid w:val="00522991"/>
    <w:rsid w:val="00523A24"/>
    <w:rsid w:val="005248B4"/>
    <w:rsid w:val="005254CE"/>
    <w:rsid w:val="005313A6"/>
    <w:rsid w:val="00531862"/>
    <w:rsid w:val="00532FC2"/>
    <w:rsid w:val="00536F2A"/>
    <w:rsid w:val="00543FD6"/>
    <w:rsid w:val="0054405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58B"/>
    <w:rsid w:val="005654B1"/>
    <w:rsid w:val="0056641D"/>
    <w:rsid w:val="00574583"/>
    <w:rsid w:val="00575D84"/>
    <w:rsid w:val="00576A4E"/>
    <w:rsid w:val="00577623"/>
    <w:rsid w:val="005822C7"/>
    <w:rsid w:val="00583087"/>
    <w:rsid w:val="005866C1"/>
    <w:rsid w:val="00590642"/>
    <w:rsid w:val="00590C8B"/>
    <w:rsid w:val="00591F2C"/>
    <w:rsid w:val="005975AC"/>
    <w:rsid w:val="005A00A0"/>
    <w:rsid w:val="005A011F"/>
    <w:rsid w:val="005A1010"/>
    <w:rsid w:val="005A2BD3"/>
    <w:rsid w:val="005A3C49"/>
    <w:rsid w:val="005A6242"/>
    <w:rsid w:val="005B1214"/>
    <w:rsid w:val="005B359B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15F9"/>
    <w:rsid w:val="005F62D7"/>
    <w:rsid w:val="005F6635"/>
    <w:rsid w:val="005F7286"/>
    <w:rsid w:val="005F7990"/>
    <w:rsid w:val="00601C2D"/>
    <w:rsid w:val="006027C0"/>
    <w:rsid w:val="00603A28"/>
    <w:rsid w:val="00603C94"/>
    <w:rsid w:val="0060426F"/>
    <w:rsid w:val="00605CA7"/>
    <w:rsid w:val="0060716F"/>
    <w:rsid w:val="006139F7"/>
    <w:rsid w:val="00613F33"/>
    <w:rsid w:val="00613F4D"/>
    <w:rsid w:val="00615238"/>
    <w:rsid w:val="00615A83"/>
    <w:rsid w:val="00617D73"/>
    <w:rsid w:val="0062302F"/>
    <w:rsid w:val="00623833"/>
    <w:rsid w:val="00623FB2"/>
    <w:rsid w:val="006313C3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0EBD"/>
    <w:rsid w:val="00682E7A"/>
    <w:rsid w:val="0068337F"/>
    <w:rsid w:val="00683610"/>
    <w:rsid w:val="006854B9"/>
    <w:rsid w:val="00686190"/>
    <w:rsid w:val="0069474C"/>
    <w:rsid w:val="006A4C0D"/>
    <w:rsid w:val="006A6150"/>
    <w:rsid w:val="006B04D2"/>
    <w:rsid w:val="006B32D4"/>
    <w:rsid w:val="006B3CE8"/>
    <w:rsid w:val="006C0AA5"/>
    <w:rsid w:val="006C4F11"/>
    <w:rsid w:val="006D2B09"/>
    <w:rsid w:val="006D5BF5"/>
    <w:rsid w:val="006D677A"/>
    <w:rsid w:val="006D7C7F"/>
    <w:rsid w:val="006E32A0"/>
    <w:rsid w:val="006F0DDF"/>
    <w:rsid w:val="006F2277"/>
    <w:rsid w:val="006F282A"/>
    <w:rsid w:val="006F4E49"/>
    <w:rsid w:val="006F4E9C"/>
    <w:rsid w:val="00700D9E"/>
    <w:rsid w:val="0070180D"/>
    <w:rsid w:val="00702CD9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010"/>
    <w:rsid w:val="00734877"/>
    <w:rsid w:val="00736891"/>
    <w:rsid w:val="007402C7"/>
    <w:rsid w:val="00742B44"/>
    <w:rsid w:val="00742FCC"/>
    <w:rsid w:val="0074395C"/>
    <w:rsid w:val="0074633E"/>
    <w:rsid w:val="007478E8"/>
    <w:rsid w:val="00751BF9"/>
    <w:rsid w:val="00751CDD"/>
    <w:rsid w:val="00753D39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803A0"/>
    <w:rsid w:val="00781ABB"/>
    <w:rsid w:val="007836C0"/>
    <w:rsid w:val="007878D0"/>
    <w:rsid w:val="007916DD"/>
    <w:rsid w:val="00791AC6"/>
    <w:rsid w:val="00792FAD"/>
    <w:rsid w:val="00793DCB"/>
    <w:rsid w:val="00797CCE"/>
    <w:rsid w:val="007A1121"/>
    <w:rsid w:val="007A13D1"/>
    <w:rsid w:val="007A143D"/>
    <w:rsid w:val="007A2607"/>
    <w:rsid w:val="007A430E"/>
    <w:rsid w:val="007A56FF"/>
    <w:rsid w:val="007A726F"/>
    <w:rsid w:val="007B017F"/>
    <w:rsid w:val="007B3E76"/>
    <w:rsid w:val="007B581E"/>
    <w:rsid w:val="007B58EF"/>
    <w:rsid w:val="007B6455"/>
    <w:rsid w:val="007B7E11"/>
    <w:rsid w:val="007C0AC5"/>
    <w:rsid w:val="007C243D"/>
    <w:rsid w:val="007C7E11"/>
    <w:rsid w:val="007D0A3D"/>
    <w:rsid w:val="007D176D"/>
    <w:rsid w:val="007D2607"/>
    <w:rsid w:val="007D2996"/>
    <w:rsid w:val="007D3795"/>
    <w:rsid w:val="007D5C34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1C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814"/>
    <w:rsid w:val="00843A33"/>
    <w:rsid w:val="00844CFC"/>
    <w:rsid w:val="00844D39"/>
    <w:rsid w:val="00844FEC"/>
    <w:rsid w:val="00845537"/>
    <w:rsid w:val="00851819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0329"/>
    <w:rsid w:val="00883513"/>
    <w:rsid w:val="008866CD"/>
    <w:rsid w:val="00887AE6"/>
    <w:rsid w:val="00890277"/>
    <w:rsid w:val="00891842"/>
    <w:rsid w:val="00892446"/>
    <w:rsid w:val="00892B38"/>
    <w:rsid w:val="00893671"/>
    <w:rsid w:val="00894410"/>
    <w:rsid w:val="008A0154"/>
    <w:rsid w:val="008A09EF"/>
    <w:rsid w:val="008A35BD"/>
    <w:rsid w:val="008A59AC"/>
    <w:rsid w:val="008A77E9"/>
    <w:rsid w:val="008B139E"/>
    <w:rsid w:val="008B4345"/>
    <w:rsid w:val="008B4768"/>
    <w:rsid w:val="008B601A"/>
    <w:rsid w:val="008B7496"/>
    <w:rsid w:val="008B75CD"/>
    <w:rsid w:val="008C0A94"/>
    <w:rsid w:val="008C10FF"/>
    <w:rsid w:val="008D028B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4BF3"/>
    <w:rsid w:val="008E5EA1"/>
    <w:rsid w:val="008E5FF6"/>
    <w:rsid w:val="008E6A6A"/>
    <w:rsid w:val="008F1D48"/>
    <w:rsid w:val="008F294E"/>
    <w:rsid w:val="008F35B5"/>
    <w:rsid w:val="008F3889"/>
    <w:rsid w:val="008F3A3C"/>
    <w:rsid w:val="008F4680"/>
    <w:rsid w:val="009027A4"/>
    <w:rsid w:val="00905762"/>
    <w:rsid w:val="00905780"/>
    <w:rsid w:val="00910BD7"/>
    <w:rsid w:val="00913F47"/>
    <w:rsid w:val="0091697E"/>
    <w:rsid w:val="009235AC"/>
    <w:rsid w:val="00925D70"/>
    <w:rsid w:val="009271F4"/>
    <w:rsid w:val="0093017A"/>
    <w:rsid w:val="0093208E"/>
    <w:rsid w:val="00933EF3"/>
    <w:rsid w:val="00935C63"/>
    <w:rsid w:val="00936D1F"/>
    <w:rsid w:val="009519BC"/>
    <w:rsid w:val="00952ED6"/>
    <w:rsid w:val="00953CDA"/>
    <w:rsid w:val="00954B9B"/>
    <w:rsid w:val="00954DFF"/>
    <w:rsid w:val="00955659"/>
    <w:rsid w:val="009577BC"/>
    <w:rsid w:val="00960A3F"/>
    <w:rsid w:val="009610F3"/>
    <w:rsid w:val="0096181C"/>
    <w:rsid w:val="00963D81"/>
    <w:rsid w:val="009655E9"/>
    <w:rsid w:val="009663C9"/>
    <w:rsid w:val="00966BE0"/>
    <w:rsid w:val="009672BE"/>
    <w:rsid w:val="00967F5C"/>
    <w:rsid w:val="00975D29"/>
    <w:rsid w:val="009819C6"/>
    <w:rsid w:val="00984BA5"/>
    <w:rsid w:val="00993CA0"/>
    <w:rsid w:val="00994269"/>
    <w:rsid w:val="00994600"/>
    <w:rsid w:val="00995EF6"/>
    <w:rsid w:val="0099601B"/>
    <w:rsid w:val="0099605E"/>
    <w:rsid w:val="009A037D"/>
    <w:rsid w:val="009B048C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1CF9"/>
    <w:rsid w:val="009E3254"/>
    <w:rsid w:val="009E390F"/>
    <w:rsid w:val="009E4BB6"/>
    <w:rsid w:val="009F0B02"/>
    <w:rsid w:val="009F22CD"/>
    <w:rsid w:val="009F39F9"/>
    <w:rsid w:val="009F58C0"/>
    <w:rsid w:val="009F7EC0"/>
    <w:rsid w:val="009F7ED9"/>
    <w:rsid w:val="00A049EE"/>
    <w:rsid w:val="00A111E0"/>
    <w:rsid w:val="00A11EED"/>
    <w:rsid w:val="00A12FB7"/>
    <w:rsid w:val="00A24039"/>
    <w:rsid w:val="00A25E06"/>
    <w:rsid w:val="00A26EE4"/>
    <w:rsid w:val="00A27DE7"/>
    <w:rsid w:val="00A3002E"/>
    <w:rsid w:val="00A313C4"/>
    <w:rsid w:val="00A356FD"/>
    <w:rsid w:val="00A36728"/>
    <w:rsid w:val="00A3755B"/>
    <w:rsid w:val="00A44E0B"/>
    <w:rsid w:val="00A4501D"/>
    <w:rsid w:val="00A4661A"/>
    <w:rsid w:val="00A468EB"/>
    <w:rsid w:val="00A50F18"/>
    <w:rsid w:val="00A52917"/>
    <w:rsid w:val="00A57DDF"/>
    <w:rsid w:val="00A6045C"/>
    <w:rsid w:val="00A617BE"/>
    <w:rsid w:val="00A637C1"/>
    <w:rsid w:val="00A64CB5"/>
    <w:rsid w:val="00A64DBE"/>
    <w:rsid w:val="00A67724"/>
    <w:rsid w:val="00A724EF"/>
    <w:rsid w:val="00A76BAD"/>
    <w:rsid w:val="00A770EA"/>
    <w:rsid w:val="00A83C02"/>
    <w:rsid w:val="00A845F9"/>
    <w:rsid w:val="00A875B2"/>
    <w:rsid w:val="00A90FAD"/>
    <w:rsid w:val="00A93CCC"/>
    <w:rsid w:val="00A93EB5"/>
    <w:rsid w:val="00A95A6F"/>
    <w:rsid w:val="00A96878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EA0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AF6951"/>
    <w:rsid w:val="00B006C0"/>
    <w:rsid w:val="00B03349"/>
    <w:rsid w:val="00B042DC"/>
    <w:rsid w:val="00B0525E"/>
    <w:rsid w:val="00B07AFA"/>
    <w:rsid w:val="00B101C5"/>
    <w:rsid w:val="00B1043F"/>
    <w:rsid w:val="00B136A9"/>
    <w:rsid w:val="00B21426"/>
    <w:rsid w:val="00B217FD"/>
    <w:rsid w:val="00B26438"/>
    <w:rsid w:val="00B30A70"/>
    <w:rsid w:val="00B30E19"/>
    <w:rsid w:val="00B31315"/>
    <w:rsid w:val="00B3159D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92E"/>
    <w:rsid w:val="00B66DBB"/>
    <w:rsid w:val="00B70101"/>
    <w:rsid w:val="00B7131E"/>
    <w:rsid w:val="00B74F50"/>
    <w:rsid w:val="00B7599C"/>
    <w:rsid w:val="00B76719"/>
    <w:rsid w:val="00B77C66"/>
    <w:rsid w:val="00B8000E"/>
    <w:rsid w:val="00B81214"/>
    <w:rsid w:val="00B84FF6"/>
    <w:rsid w:val="00B855C4"/>
    <w:rsid w:val="00B85806"/>
    <w:rsid w:val="00B86313"/>
    <w:rsid w:val="00B90217"/>
    <w:rsid w:val="00B93363"/>
    <w:rsid w:val="00B93CBA"/>
    <w:rsid w:val="00B95565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830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C3C1B"/>
    <w:rsid w:val="00BD077A"/>
    <w:rsid w:val="00BD6B8C"/>
    <w:rsid w:val="00BD7E42"/>
    <w:rsid w:val="00BE0D2F"/>
    <w:rsid w:val="00BE381A"/>
    <w:rsid w:val="00BE3B23"/>
    <w:rsid w:val="00BE5B94"/>
    <w:rsid w:val="00BE5DFB"/>
    <w:rsid w:val="00BF124D"/>
    <w:rsid w:val="00BF7060"/>
    <w:rsid w:val="00BF7AEB"/>
    <w:rsid w:val="00C00CD3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0061"/>
    <w:rsid w:val="00C43273"/>
    <w:rsid w:val="00C4621A"/>
    <w:rsid w:val="00C46B61"/>
    <w:rsid w:val="00C50777"/>
    <w:rsid w:val="00C551B0"/>
    <w:rsid w:val="00C5723F"/>
    <w:rsid w:val="00C575B2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073"/>
    <w:rsid w:val="00CE5D21"/>
    <w:rsid w:val="00CF0F5E"/>
    <w:rsid w:val="00D01C27"/>
    <w:rsid w:val="00D02F3A"/>
    <w:rsid w:val="00D03091"/>
    <w:rsid w:val="00D03250"/>
    <w:rsid w:val="00D06CE9"/>
    <w:rsid w:val="00D06D9C"/>
    <w:rsid w:val="00D10CD4"/>
    <w:rsid w:val="00D11B9E"/>
    <w:rsid w:val="00D12605"/>
    <w:rsid w:val="00D12E68"/>
    <w:rsid w:val="00D167A2"/>
    <w:rsid w:val="00D16978"/>
    <w:rsid w:val="00D172A0"/>
    <w:rsid w:val="00D25110"/>
    <w:rsid w:val="00D253B5"/>
    <w:rsid w:val="00D27B11"/>
    <w:rsid w:val="00D327A2"/>
    <w:rsid w:val="00D32BC5"/>
    <w:rsid w:val="00D32F1F"/>
    <w:rsid w:val="00D33077"/>
    <w:rsid w:val="00D35792"/>
    <w:rsid w:val="00D37B94"/>
    <w:rsid w:val="00D45FCC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76AD"/>
    <w:rsid w:val="00D82297"/>
    <w:rsid w:val="00D83E5F"/>
    <w:rsid w:val="00D84742"/>
    <w:rsid w:val="00D901A8"/>
    <w:rsid w:val="00D91388"/>
    <w:rsid w:val="00D93D15"/>
    <w:rsid w:val="00D95A11"/>
    <w:rsid w:val="00D95E81"/>
    <w:rsid w:val="00D9690C"/>
    <w:rsid w:val="00DA01DC"/>
    <w:rsid w:val="00DA1EEE"/>
    <w:rsid w:val="00DA3887"/>
    <w:rsid w:val="00DA511A"/>
    <w:rsid w:val="00DA798C"/>
    <w:rsid w:val="00DB014F"/>
    <w:rsid w:val="00DB6CF9"/>
    <w:rsid w:val="00DC05E6"/>
    <w:rsid w:val="00DC6358"/>
    <w:rsid w:val="00DD097C"/>
    <w:rsid w:val="00DD10B7"/>
    <w:rsid w:val="00DD1E1F"/>
    <w:rsid w:val="00DD471F"/>
    <w:rsid w:val="00DD4968"/>
    <w:rsid w:val="00DD60A8"/>
    <w:rsid w:val="00DD7A95"/>
    <w:rsid w:val="00DE45B2"/>
    <w:rsid w:val="00DE61AE"/>
    <w:rsid w:val="00DE6DBF"/>
    <w:rsid w:val="00DF3144"/>
    <w:rsid w:val="00DF6333"/>
    <w:rsid w:val="00E01A2D"/>
    <w:rsid w:val="00E01E14"/>
    <w:rsid w:val="00E02A59"/>
    <w:rsid w:val="00E03585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262F3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5AC1"/>
    <w:rsid w:val="00E65AD2"/>
    <w:rsid w:val="00E6758A"/>
    <w:rsid w:val="00E778E1"/>
    <w:rsid w:val="00E80A5F"/>
    <w:rsid w:val="00E81AA7"/>
    <w:rsid w:val="00E84619"/>
    <w:rsid w:val="00E90810"/>
    <w:rsid w:val="00E912A2"/>
    <w:rsid w:val="00E92016"/>
    <w:rsid w:val="00E926EE"/>
    <w:rsid w:val="00E92CF2"/>
    <w:rsid w:val="00E92EB0"/>
    <w:rsid w:val="00E93151"/>
    <w:rsid w:val="00E9340A"/>
    <w:rsid w:val="00E936A2"/>
    <w:rsid w:val="00E94D20"/>
    <w:rsid w:val="00E95813"/>
    <w:rsid w:val="00E976CC"/>
    <w:rsid w:val="00EA6850"/>
    <w:rsid w:val="00EA7AEA"/>
    <w:rsid w:val="00EC133A"/>
    <w:rsid w:val="00EC3408"/>
    <w:rsid w:val="00ED1AED"/>
    <w:rsid w:val="00ED37A0"/>
    <w:rsid w:val="00ED4C54"/>
    <w:rsid w:val="00ED5612"/>
    <w:rsid w:val="00ED5B2F"/>
    <w:rsid w:val="00EE04A7"/>
    <w:rsid w:val="00EE0DA6"/>
    <w:rsid w:val="00EE195C"/>
    <w:rsid w:val="00EE2505"/>
    <w:rsid w:val="00EE3F93"/>
    <w:rsid w:val="00EE47B4"/>
    <w:rsid w:val="00EE6A6F"/>
    <w:rsid w:val="00EE6B1C"/>
    <w:rsid w:val="00EF0A85"/>
    <w:rsid w:val="00EF27D4"/>
    <w:rsid w:val="00F035EC"/>
    <w:rsid w:val="00F06331"/>
    <w:rsid w:val="00F124F5"/>
    <w:rsid w:val="00F127AA"/>
    <w:rsid w:val="00F143E0"/>
    <w:rsid w:val="00F16CEE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2B7B"/>
    <w:rsid w:val="00F43FAF"/>
    <w:rsid w:val="00F45372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65B"/>
    <w:rsid w:val="00FD2A08"/>
    <w:rsid w:val="00FD3923"/>
    <w:rsid w:val="00FD6EBA"/>
    <w:rsid w:val="00FD6FDC"/>
    <w:rsid w:val="00FD7774"/>
    <w:rsid w:val="00FD7A15"/>
    <w:rsid w:val="00FE00B3"/>
    <w:rsid w:val="00FE00DE"/>
    <w:rsid w:val="00FE1194"/>
    <w:rsid w:val="00FE2E1E"/>
    <w:rsid w:val="00FE3CBF"/>
    <w:rsid w:val="00FE5064"/>
    <w:rsid w:val="00FE5383"/>
    <w:rsid w:val="00FF0049"/>
    <w:rsid w:val="00FF0AE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ncp.gov.br/app/pca/44919611000103/20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4.xml><?xml version="1.0" encoding="utf-8"?>
<ds:datastoreItem xmlns:ds="http://schemas.openxmlformats.org/officeDocument/2006/customXml" ds:itemID="{65B1821A-39C4-48A7-8359-2437E966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3255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 hubach Pieretti</cp:lastModifiedBy>
  <cp:revision>163</cp:revision>
  <dcterms:created xsi:type="dcterms:W3CDTF">2025-02-07T21:02:00Z</dcterms:created>
  <dcterms:modified xsi:type="dcterms:W3CDTF">2025-05-22T19:13:00Z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